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4FDC6">
      <w:pPr>
        <w:tabs>
          <w:tab w:val="center" w:pos="4536"/>
          <w:tab w:val="right" w:pos="9639"/>
        </w:tabs>
        <w:spacing w:before="120" w:after="120" w:line="240" w:lineRule="auto"/>
        <w:ind w:right="2"/>
        <w:rPr>
          <w:rFonts w:hint="eastAsia" w:ascii="Arial" w:hAnsi="Arial" w:eastAsia="宋体" w:cs="Arial"/>
          <w:b/>
          <w:bCs/>
          <w:sz w:val="22"/>
          <w:szCs w:val="22"/>
          <w:lang w:val="en-US" w:eastAsia="ja-JP"/>
        </w:rPr>
      </w:pPr>
      <w:r>
        <w:rPr>
          <w:rFonts w:ascii="Arial" w:hAnsi="Arial" w:cs="Arial"/>
          <w:b/>
          <w:bCs/>
          <w:sz w:val="22"/>
          <w:szCs w:val="22"/>
          <w:lang w:eastAsia="ja-JP"/>
        </w:rPr>
        <w:t>3GPP TSG RAN meeting #</w:t>
      </w:r>
      <w:r>
        <w:rPr>
          <w:rFonts w:hint="eastAsia" w:ascii="Arial" w:hAnsi="Arial" w:cs="Arial"/>
          <w:b/>
          <w:bCs/>
          <w:sz w:val="22"/>
          <w:szCs w:val="22"/>
        </w:rPr>
        <w:t>108</w:t>
      </w:r>
      <w:r>
        <w:rPr>
          <w:rFonts w:ascii="Arial" w:hAnsi="Arial" w:cs="Arial"/>
          <w:b/>
          <w:bCs/>
          <w:sz w:val="22"/>
          <w:szCs w:val="22"/>
        </w:rPr>
        <w:t xml:space="preserve"> </w:t>
      </w:r>
      <w:r>
        <w:rPr>
          <w:rFonts w:ascii="Arial" w:hAnsi="Arial" w:cs="Arial"/>
          <w:b/>
          <w:bCs/>
          <w:sz w:val="22"/>
          <w:szCs w:val="22"/>
          <w:lang w:eastAsia="ja-JP"/>
        </w:rPr>
        <w:t xml:space="preserve">                                          </w:t>
      </w:r>
      <w:r>
        <w:rPr>
          <w:rFonts w:hint="eastAsia" w:ascii="Arial" w:hAnsi="Arial" w:cs="Arial"/>
          <w:b/>
          <w:bCs/>
          <w:sz w:val="22"/>
          <w:szCs w:val="22"/>
        </w:rPr>
        <w:t xml:space="preserve">      </w:t>
      </w:r>
      <w:r>
        <w:rPr>
          <w:rFonts w:hint="eastAsia" w:ascii="Arial" w:hAnsi="Arial" w:cs="Arial"/>
          <w:b/>
          <w:bCs/>
          <w:sz w:val="22"/>
          <w:szCs w:val="22"/>
          <w:lang w:eastAsia="ja-JP"/>
        </w:rPr>
        <w:t>RP-251735</w:t>
      </w:r>
    </w:p>
    <w:p w14:paraId="51C0F2B3">
      <w:pPr>
        <w:pStyle w:val="120"/>
        <w:spacing w:before="120" w:after="120"/>
      </w:pPr>
      <w:r>
        <w:rPr>
          <w:rFonts w:hint="eastAsia"/>
        </w:rPr>
        <w:t>Prague, Czech Republic, June 9-13, 2025</w:t>
      </w:r>
    </w:p>
    <w:p w14:paraId="09023B85">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ZTE's views on candidate RF</w:t>
      </w:r>
      <w:r>
        <w:rPr>
          <w:rFonts w:hint="eastAsia" w:ascii="Arial" w:hAnsi="Arial" w:cs="Arial"/>
          <w:b/>
          <w:sz w:val="24"/>
          <w:szCs w:val="24"/>
          <w:lang w:val="en-US" w:eastAsia="zh-CN"/>
        </w:rPr>
        <w:t>/</w:t>
      </w:r>
      <w:r>
        <w:rPr>
          <w:rFonts w:hint="eastAsia" w:ascii="Arial" w:hAnsi="Arial" w:cs="Arial"/>
          <w:b/>
          <w:sz w:val="24"/>
          <w:szCs w:val="24"/>
        </w:rPr>
        <w:t>OTA topics for Rel-20</w:t>
      </w:r>
    </w:p>
    <w:p w14:paraId="5178814D">
      <w:pPr>
        <w:tabs>
          <w:tab w:val="left" w:pos="1985"/>
        </w:tabs>
        <w:spacing w:after="180"/>
        <w:ind w:left="1980" w:hanging="1980"/>
        <w:rPr>
          <w:rFonts w:hint="eastAsia" w:ascii="Arial" w:hAnsi="Arial" w:eastAsia="MS Mincho"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w:t>
      </w:r>
      <w:r>
        <w:rPr>
          <w:rFonts w:hint="eastAsia" w:ascii="Arial" w:hAnsi="Arial" w:cs="Arial"/>
          <w:b/>
          <w:sz w:val="24"/>
          <w:szCs w:val="24"/>
        </w:rPr>
        <w:t>n</w:t>
      </w:r>
      <w:r>
        <w:rPr>
          <w:rFonts w:hint="eastAsia" w:ascii="Arial" w:hAnsi="Arial" w:cs="Arial"/>
          <w:b/>
          <w:sz w:val="24"/>
          <w:szCs w:val="24"/>
          <w:lang w:val="en-US" w:eastAsia="zh-CN"/>
        </w:rPr>
        <w:t>,</w:t>
      </w:r>
      <w:r>
        <w:rPr>
          <w:rFonts w:ascii="Arial" w:hAnsi="Arial"/>
          <w:b/>
          <w:sz w:val="22"/>
          <w:szCs w:val="22"/>
        </w:rPr>
        <w:t>Sanechips</w:t>
      </w:r>
      <w:r>
        <w:rPr>
          <w:rFonts w:hint="eastAsia" w:ascii="Arial" w:hAnsi="Arial" w:eastAsia="MS Mincho" w:cs="Arial"/>
          <w:b/>
          <w:sz w:val="24"/>
          <w:szCs w:val="24"/>
        </w:rPr>
        <w:t xml:space="preserve"> </w:t>
      </w:r>
    </w:p>
    <w:p w14:paraId="166637AD">
      <w:pPr>
        <w:tabs>
          <w:tab w:val="left" w:pos="1985"/>
        </w:tabs>
        <w:spacing w:before="120" w:after="120"/>
        <w:rPr>
          <w:rFonts w:ascii="Arial" w:hAnsi="Arial" w:eastAsia="MS Mincho" w:cs="Arial"/>
          <w:b/>
          <w:sz w:val="24"/>
          <w:szCs w:val="24"/>
          <w:lang w:eastAsia="en-US"/>
        </w:rPr>
      </w:pPr>
      <w:r>
        <w:rPr>
          <w:rFonts w:ascii="Arial" w:hAnsi="Arial"/>
          <w:b/>
          <w:sz w:val="22"/>
          <w:szCs w:val="22"/>
          <w:lang w:val="pt-BR"/>
        </w:rPr>
        <w:t>Agenda item:</w:t>
      </w:r>
      <w:r>
        <w:rPr>
          <w:rFonts w:ascii="Arial" w:hAnsi="Arial"/>
          <w:b/>
          <w:sz w:val="22"/>
          <w:szCs w:val="22"/>
          <w:lang w:val="pt-BR"/>
        </w:rPr>
        <w:tab/>
      </w:r>
      <w:r>
        <w:rPr>
          <w:rFonts w:hint="eastAsia" w:ascii="Arial" w:hAnsi="Arial" w:eastAsia="MS Mincho" w:cs="Arial"/>
          <w:b/>
          <w:sz w:val="24"/>
          <w:szCs w:val="24"/>
          <w:lang w:eastAsia="en-US"/>
        </w:rPr>
        <w:t>15.4.2</w:t>
      </w:r>
    </w:p>
    <w:p w14:paraId="6A729D0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14:paraId="49FFADD9">
      <w:pPr>
        <w:pStyle w:val="59"/>
        <w:tabs>
          <w:tab w:val="left" w:pos="567"/>
          <w:tab w:val="clear" w:pos="1985"/>
        </w:tabs>
        <w:adjustRightInd w:val="0"/>
        <w:ind w:left="510" w:hanging="510"/>
      </w:pPr>
      <w:r>
        <w:t>Introduction</w:t>
      </w:r>
    </w:p>
    <w:p w14:paraId="70BD4B86">
      <w:pPr>
        <w:spacing w:after="0"/>
        <w:jc w:val="left"/>
        <w:rPr>
          <w:rFonts w:eastAsiaTheme="minorEastAsia"/>
        </w:rPr>
      </w:pPr>
      <w:r>
        <w:rPr>
          <w:rFonts w:hint="eastAsia" w:eastAsiaTheme="minorEastAsia"/>
        </w:rPr>
        <w:t>In the RAN#107 meeting, there was some initial discussion on Rel-20 RAN4 package and the discussion outcome is summarized in moderator</w:t>
      </w:r>
      <w:r>
        <w:rPr>
          <w:rFonts w:eastAsiaTheme="minorEastAsia"/>
        </w:rPr>
        <w:t>’s</w:t>
      </w:r>
      <w:r>
        <w:rPr>
          <w:rFonts w:hint="eastAsia" w:eastAsiaTheme="minorEastAsia"/>
        </w:rPr>
        <w:t xml:space="preserve"> summary [1]. In this contribution, we would like to share </w:t>
      </w:r>
      <w:r>
        <w:rPr>
          <w:rFonts w:eastAsiaTheme="minorEastAsia"/>
        </w:rPr>
        <w:t>our</w:t>
      </w:r>
      <w:r>
        <w:rPr>
          <w:rFonts w:hint="eastAsia" w:eastAsiaTheme="minorEastAsia"/>
          <w:lang w:val="en-US" w:eastAsia="zh-CN"/>
        </w:rPr>
        <w:t xml:space="preserve"> further</w:t>
      </w:r>
      <w:r>
        <w:rPr>
          <w:rFonts w:hint="eastAsia" w:eastAsiaTheme="minorEastAsia"/>
        </w:rPr>
        <w:t xml:space="preserve"> view</w:t>
      </w:r>
      <w:r>
        <w:rPr>
          <w:rFonts w:hint="eastAsia" w:eastAsiaTheme="minorEastAsia"/>
          <w:lang w:val="en-US" w:eastAsia="zh-CN"/>
        </w:rPr>
        <w:t>s from both BS RF and UE RF perspective.</w:t>
      </w:r>
      <w:r>
        <w:rPr>
          <w:rFonts w:hint="eastAsia" w:eastAsiaTheme="minorEastAsia"/>
        </w:rPr>
        <w:t xml:space="preserve"> </w:t>
      </w:r>
    </w:p>
    <w:p w14:paraId="290750E3">
      <w:pPr>
        <w:pStyle w:val="59"/>
        <w:tabs>
          <w:tab w:val="left" w:pos="567"/>
          <w:tab w:val="clear" w:pos="1985"/>
        </w:tabs>
        <w:adjustRightInd w:val="0"/>
        <w:ind w:left="510" w:hanging="510"/>
        <w:rPr>
          <w:rFonts w:eastAsia="Times New Roman"/>
        </w:rPr>
      </w:pPr>
      <w:bookmarkStart w:id="1" w:name="OLE_LINK10"/>
      <w:bookmarkStart w:id="2" w:name="OLE_LINK20"/>
      <w:bookmarkStart w:id="3" w:name="OLE_LINK14"/>
      <w:bookmarkStart w:id="4" w:name="OLE_LINK13"/>
      <w:r>
        <w:rPr>
          <w:rFonts w:hint="eastAsia"/>
        </w:rPr>
        <w:t>Discussion</w:t>
      </w:r>
      <w:r>
        <w:rPr>
          <w:rFonts w:hint="eastAsia" w:eastAsia="Times New Roman"/>
        </w:rPr>
        <w:t xml:space="preserve"> </w:t>
      </w:r>
    </w:p>
    <w:p w14:paraId="18B6DC06">
      <w:pPr>
        <w:pStyle w:val="59"/>
        <w:numPr>
          <w:ilvl w:val="0"/>
          <w:numId w:val="0"/>
        </w:numPr>
        <w:tabs>
          <w:tab w:val="left" w:pos="567"/>
          <w:tab w:val="clear" w:pos="1985"/>
        </w:tabs>
        <w:adjustRightInd w:val="0"/>
        <w:spacing w:line="260" w:lineRule="auto"/>
        <w:outlineLvl w:val="1"/>
      </w:pPr>
      <w:r>
        <w:rPr>
          <w:rFonts w:hint="eastAsia"/>
        </w:rPr>
        <w:t>2.1. BS RF enhancement</w:t>
      </w:r>
    </w:p>
    <w:p w14:paraId="3A239790">
      <w:pPr>
        <w:pStyle w:val="59"/>
        <w:numPr>
          <w:ilvl w:val="0"/>
          <w:numId w:val="0"/>
        </w:numPr>
        <w:tabs>
          <w:tab w:val="left" w:pos="567"/>
          <w:tab w:val="clear" w:pos="1985"/>
        </w:tabs>
        <w:adjustRightInd w:val="0"/>
        <w:spacing w:line="260" w:lineRule="auto"/>
        <w:outlineLvl w:val="2"/>
      </w:pPr>
      <w:r>
        <w:rPr>
          <w:rFonts w:hint="eastAsia"/>
        </w:rPr>
        <w:t>2.1.1 ZTE</w:t>
      </w:r>
      <w:r>
        <w:t>’</w:t>
      </w:r>
      <w:r>
        <w:rPr>
          <w:rFonts w:hint="eastAsia"/>
        </w:rPr>
        <w:t>s view</w:t>
      </w:r>
    </w:p>
    <w:p w14:paraId="027A50CC">
      <w:pPr>
        <w:spacing w:after="0"/>
        <w:jc w:val="left"/>
        <w:rPr>
          <w:rFonts w:eastAsiaTheme="minorEastAsia"/>
        </w:rPr>
      </w:pPr>
      <w:r>
        <w:rPr>
          <w:rFonts w:hint="eastAsia" w:eastAsiaTheme="minorEastAsia"/>
        </w:rPr>
        <w:t>The high level views on the companies</w:t>
      </w:r>
      <w:r>
        <w:rPr>
          <w:rFonts w:eastAsiaTheme="minorEastAsia"/>
        </w:rPr>
        <w:t>’</w:t>
      </w:r>
      <w:r>
        <w:rPr>
          <w:rFonts w:hint="eastAsia" w:eastAsiaTheme="minorEastAsia"/>
        </w:rPr>
        <w:t xml:space="preserve"> Rel-20 BS RF proposals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7"/>
        <w:gridCol w:w="4823"/>
        <w:gridCol w:w="3320"/>
      </w:tblGrid>
      <w:tr w14:paraId="6181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7" w:type="dxa"/>
            <w:shd w:val="clear" w:color="auto" w:fill="BEBEBE" w:themeFill="background1" w:themeFillShade="BF"/>
          </w:tcPr>
          <w:p w14:paraId="297A61A6">
            <w:pPr>
              <w:spacing w:after="0"/>
              <w:jc w:val="left"/>
              <w:rPr>
                <w:rFonts w:eastAsiaTheme="minorEastAsia"/>
                <w:b/>
                <w:bCs/>
              </w:rPr>
            </w:pPr>
            <w:r>
              <w:rPr>
                <w:rFonts w:hint="eastAsia" w:eastAsiaTheme="minorEastAsia"/>
                <w:b/>
                <w:bCs/>
              </w:rPr>
              <w:t>Numbering</w:t>
            </w:r>
          </w:p>
        </w:tc>
        <w:tc>
          <w:tcPr>
            <w:tcW w:w="4823" w:type="dxa"/>
            <w:shd w:val="clear" w:color="auto" w:fill="BEBEBE" w:themeFill="background1" w:themeFillShade="BF"/>
          </w:tcPr>
          <w:p w14:paraId="5700F858">
            <w:pPr>
              <w:spacing w:after="0"/>
              <w:jc w:val="left"/>
              <w:rPr>
                <w:rFonts w:eastAsiaTheme="minorEastAsia"/>
                <w:b/>
                <w:bCs/>
              </w:rPr>
            </w:pPr>
            <w:r>
              <w:rPr>
                <w:rFonts w:hint="eastAsia" w:eastAsiaTheme="minorEastAsia"/>
                <w:b/>
                <w:bCs/>
              </w:rPr>
              <w:t>Objective</w:t>
            </w:r>
          </w:p>
        </w:tc>
        <w:tc>
          <w:tcPr>
            <w:tcW w:w="3320" w:type="dxa"/>
            <w:shd w:val="clear" w:color="auto" w:fill="BEBEBE" w:themeFill="background1" w:themeFillShade="BF"/>
          </w:tcPr>
          <w:p w14:paraId="5B442D0C">
            <w:pPr>
              <w:spacing w:after="0"/>
              <w:jc w:val="left"/>
              <w:rPr>
                <w:rFonts w:eastAsiaTheme="minorEastAsia"/>
                <w:b/>
                <w:bCs/>
              </w:rPr>
            </w:pPr>
            <w:r>
              <w:rPr>
                <w:rFonts w:hint="eastAsia" w:eastAsiaTheme="minorEastAsia"/>
                <w:b/>
                <w:bCs/>
              </w:rPr>
              <w:t>ZTE</w:t>
            </w:r>
            <w:r>
              <w:rPr>
                <w:rFonts w:eastAsiaTheme="minorEastAsia"/>
                <w:b/>
                <w:bCs/>
              </w:rPr>
              <w:t>’</w:t>
            </w:r>
            <w:r>
              <w:rPr>
                <w:rFonts w:hint="eastAsia" w:eastAsiaTheme="minorEastAsia"/>
                <w:b/>
                <w:bCs/>
              </w:rPr>
              <w:t>s Preference</w:t>
            </w:r>
          </w:p>
        </w:tc>
      </w:tr>
      <w:tr w14:paraId="59E0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7" w:type="dxa"/>
          </w:tcPr>
          <w:p w14:paraId="2CFBF701">
            <w:pPr>
              <w:spacing w:after="0"/>
              <w:jc w:val="left"/>
              <w:rPr>
                <w:rFonts w:eastAsiaTheme="minorEastAsia"/>
                <w:b/>
                <w:bCs/>
              </w:rPr>
            </w:pPr>
            <w:r>
              <w:rPr>
                <w:rFonts w:hint="eastAsia" w:eastAsiaTheme="minorEastAsia"/>
                <w:b/>
                <w:bCs/>
              </w:rPr>
              <w:t>1</w:t>
            </w:r>
          </w:p>
        </w:tc>
        <w:tc>
          <w:tcPr>
            <w:tcW w:w="4823" w:type="dxa"/>
          </w:tcPr>
          <w:p w14:paraId="593F9B0F">
            <w:pPr>
              <w:spacing w:after="0"/>
              <w:jc w:val="left"/>
              <w:rPr>
                <w:rFonts w:eastAsiaTheme="minorEastAsia"/>
              </w:rPr>
            </w:pPr>
            <w:r>
              <w:rPr>
                <w:rFonts w:hint="eastAsia" w:eastAsiaTheme="minorEastAsia"/>
              </w:rPr>
              <w:t>Workable and testable co-location requirements for NR BS operating in FR1 high band(s)</w:t>
            </w:r>
          </w:p>
        </w:tc>
        <w:tc>
          <w:tcPr>
            <w:tcW w:w="3320" w:type="dxa"/>
          </w:tcPr>
          <w:p w14:paraId="782C630A">
            <w:pPr>
              <w:spacing w:after="0"/>
              <w:jc w:val="left"/>
              <w:rPr>
                <w:rFonts w:eastAsiaTheme="minorEastAsia"/>
              </w:rPr>
            </w:pPr>
            <w:r>
              <w:rPr>
                <w:rFonts w:hint="eastAsia" w:eastAsiaTheme="minorEastAsia"/>
              </w:rPr>
              <w:t>High priority</w:t>
            </w:r>
          </w:p>
        </w:tc>
      </w:tr>
      <w:tr w14:paraId="7BAA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7" w:type="dxa"/>
          </w:tcPr>
          <w:p w14:paraId="13A61CA2">
            <w:pPr>
              <w:spacing w:after="0"/>
              <w:jc w:val="left"/>
              <w:rPr>
                <w:rFonts w:eastAsiaTheme="minorEastAsia"/>
                <w:b/>
                <w:bCs/>
              </w:rPr>
            </w:pPr>
            <w:r>
              <w:rPr>
                <w:rFonts w:hint="eastAsia" w:eastAsiaTheme="minorEastAsia"/>
                <w:b/>
                <w:bCs/>
              </w:rPr>
              <w:t>2</w:t>
            </w:r>
          </w:p>
        </w:tc>
        <w:tc>
          <w:tcPr>
            <w:tcW w:w="4823" w:type="dxa"/>
          </w:tcPr>
          <w:p w14:paraId="66A526DA">
            <w:pPr>
              <w:spacing w:after="0"/>
              <w:jc w:val="left"/>
              <w:rPr>
                <w:rFonts w:eastAsiaTheme="minorEastAsia"/>
              </w:rPr>
            </w:pPr>
            <w:r>
              <w:rPr>
                <w:rFonts w:hint="eastAsia" w:eastAsiaTheme="minorEastAsia"/>
              </w:rPr>
              <w:t>Additional requirement set(s) for AAS BS with more OTA requirements than the existing BS type 1-H</w:t>
            </w:r>
          </w:p>
          <w:p w14:paraId="68D05548">
            <w:pPr>
              <w:spacing w:after="0"/>
              <w:jc w:val="left"/>
              <w:rPr>
                <w:rFonts w:eastAsiaTheme="minorEastAsia"/>
              </w:rPr>
            </w:pPr>
          </w:p>
        </w:tc>
        <w:tc>
          <w:tcPr>
            <w:tcW w:w="3320" w:type="dxa"/>
            <w:shd w:val="clear" w:color="auto" w:fill="auto"/>
          </w:tcPr>
          <w:p w14:paraId="1B648E10">
            <w:pPr>
              <w:spacing w:after="0"/>
              <w:jc w:val="left"/>
              <w:rPr>
                <w:rFonts w:eastAsiaTheme="minorEastAsia"/>
              </w:rPr>
            </w:pPr>
            <w:r>
              <w:rPr>
                <w:rFonts w:hint="eastAsia" w:eastAsiaTheme="minorEastAsia"/>
              </w:rPr>
              <w:t>High priority</w:t>
            </w:r>
          </w:p>
        </w:tc>
      </w:tr>
      <w:tr w14:paraId="444A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7" w:type="dxa"/>
          </w:tcPr>
          <w:p w14:paraId="627A48DB">
            <w:pPr>
              <w:pStyle w:val="38"/>
              <w:spacing w:after="0"/>
              <w:ind w:firstLine="0" w:firstLineChars="0"/>
              <w:rPr>
                <w:b/>
                <w:bCs/>
                <w:iCs/>
                <w:szCs w:val="20"/>
              </w:rPr>
            </w:pPr>
            <w:r>
              <w:rPr>
                <w:rFonts w:hint="eastAsia"/>
                <w:b/>
                <w:bCs/>
                <w:iCs/>
                <w:szCs w:val="20"/>
              </w:rPr>
              <w:t>4</w:t>
            </w:r>
          </w:p>
        </w:tc>
        <w:tc>
          <w:tcPr>
            <w:tcW w:w="4823" w:type="dxa"/>
          </w:tcPr>
          <w:p w14:paraId="0849F545">
            <w:pPr>
              <w:pStyle w:val="38"/>
              <w:spacing w:after="0"/>
              <w:ind w:firstLine="0" w:firstLineChars="0"/>
              <w:rPr>
                <w:rFonts w:eastAsiaTheme="minorEastAsia"/>
              </w:rPr>
            </w:pPr>
            <w:r>
              <w:rPr>
                <w:bCs/>
                <w:iCs/>
                <w:szCs w:val="20"/>
              </w:rPr>
              <w:t>NB-IoT introduction to AAS BS specifications</w:t>
            </w:r>
          </w:p>
        </w:tc>
        <w:tc>
          <w:tcPr>
            <w:tcW w:w="3320" w:type="dxa"/>
            <w:shd w:val="clear" w:color="auto" w:fill="auto"/>
          </w:tcPr>
          <w:p w14:paraId="18530746">
            <w:pPr>
              <w:spacing w:after="0"/>
              <w:jc w:val="left"/>
              <w:rPr>
                <w:rFonts w:hint="eastAsia" w:eastAsiaTheme="minorEastAsia"/>
                <w:lang w:val="en-US" w:eastAsia="zh-CN"/>
              </w:rPr>
            </w:pPr>
            <w:r>
              <w:rPr>
                <w:rFonts w:hint="eastAsia" w:eastAsiaTheme="minorEastAsia"/>
                <w:lang w:val="en-US" w:eastAsia="zh-CN"/>
              </w:rPr>
              <w:t>[</w:t>
            </w:r>
            <w:r>
              <w:rPr>
                <w:rFonts w:hint="eastAsia" w:eastAsiaTheme="minorEastAsia"/>
              </w:rPr>
              <w:t>High priority</w:t>
            </w:r>
            <w:r>
              <w:rPr>
                <w:rFonts w:hint="eastAsia" w:eastAsiaTheme="minorEastAsia"/>
                <w:lang w:val="en-US" w:eastAsia="zh-CN"/>
              </w:rPr>
              <w:t>]</w:t>
            </w:r>
          </w:p>
        </w:tc>
      </w:tr>
      <w:tr w14:paraId="636C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817" w:type="dxa"/>
          </w:tcPr>
          <w:p w14:paraId="0495A83F">
            <w:pPr>
              <w:spacing w:after="0"/>
              <w:jc w:val="left"/>
              <w:rPr>
                <w:b/>
                <w:bCs/>
                <w:iCs/>
                <w:szCs w:val="20"/>
              </w:rPr>
            </w:pPr>
            <w:r>
              <w:rPr>
                <w:rFonts w:hint="eastAsia"/>
                <w:b/>
                <w:bCs/>
                <w:iCs/>
                <w:szCs w:val="20"/>
              </w:rPr>
              <w:t>3</w:t>
            </w:r>
          </w:p>
        </w:tc>
        <w:tc>
          <w:tcPr>
            <w:tcW w:w="4823" w:type="dxa"/>
          </w:tcPr>
          <w:p w14:paraId="7C6431C1">
            <w:pPr>
              <w:spacing w:after="0"/>
              <w:jc w:val="left"/>
              <w:rPr>
                <w:rFonts w:eastAsiaTheme="minorEastAsia"/>
              </w:rPr>
            </w:pPr>
            <w:r>
              <w:rPr>
                <w:bCs/>
                <w:iCs/>
                <w:szCs w:val="20"/>
              </w:rPr>
              <w:t>OTA requirements enhancement for receiver in-band blocking for FR1 high band(s)</w:t>
            </w:r>
          </w:p>
        </w:tc>
        <w:tc>
          <w:tcPr>
            <w:tcW w:w="3320" w:type="dxa"/>
          </w:tcPr>
          <w:p w14:paraId="2AD5B426">
            <w:pPr>
              <w:spacing w:after="0"/>
              <w:jc w:val="left"/>
              <w:rPr>
                <w:rFonts w:eastAsiaTheme="minorEastAsia"/>
              </w:rPr>
            </w:pPr>
            <w:r>
              <w:rPr>
                <w:rFonts w:hint="eastAsia" w:eastAsiaTheme="minorEastAsia"/>
              </w:rPr>
              <w:t>Low priority</w:t>
            </w:r>
          </w:p>
        </w:tc>
      </w:tr>
      <w:tr w14:paraId="090F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7" w:type="dxa"/>
          </w:tcPr>
          <w:p w14:paraId="60EE0FC1">
            <w:pPr>
              <w:pStyle w:val="38"/>
              <w:spacing w:after="0"/>
              <w:ind w:firstLine="0" w:firstLineChars="0"/>
              <w:rPr>
                <w:b/>
                <w:bCs/>
                <w:iCs/>
                <w:szCs w:val="20"/>
              </w:rPr>
            </w:pPr>
            <w:r>
              <w:rPr>
                <w:rFonts w:hint="eastAsia"/>
                <w:b/>
                <w:bCs/>
                <w:iCs/>
                <w:szCs w:val="20"/>
              </w:rPr>
              <w:t>5</w:t>
            </w:r>
          </w:p>
        </w:tc>
        <w:tc>
          <w:tcPr>
            <w:tcW w:w="4823" w:type="dxa"/>
          </w:tcPr>
          <w:p w14:paraId="27DF57F9">
            <w:pPr>
              <w:pStyle w:val="38"/>
              <w:spacing w:after="0"/>
              <w:ind w:firstLine="0" w:firstLineChars="0"/>
              <w:rPr>
                <w:rFonts w:eastAsiaTheme="minorEastAsia"/>
              </w:rPr>
            </w:pPr>
            <w:r>
              <w:rPr>
                <w:bCs/>
                <w:iCs/>
                <w:szCs w:val="20"/>
              </w:rPr>
              <w:t>OBUE requirements structure simplification</w:t>
            </w:r>
          </w:p>
        </w:tc>
        <w:tc>
          <w:tcPr>
            <w:tcW w:w="3320" w:type="dxa"/>
          </w:tcPr>
          <w:p w14:paraId="3E3EC4C6">
            <w:pPr>
              <w:spacing w:after="0"/>
              <w:jc w:val="left"/>
              <w:rPr>
                <w:rFonts w:eastAsiaTheme="minorEastAsia"/>
              </w:rPr>
            </w:pPr>
            <w:r>
              <w:rPr>
                <w:rFonts w:hint="eastAsia" w:eastAsiaTheme="minorEastAsia"/>
              </w:rPr>
              <w:t>Low priority</w:t>
            </w:r>
          </w:p>
        </w:tc>
      </w:tr>
      <w:tr w14:paraId="05C4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7" w:type="dxa"/>
          </w:tcPr>
          <w:p w14:paraId="7E2422B0">
            <w:pPr>
              <w:pStyle w:val="38"/>
              <w:spacing w:after="0"/>
              <w:ind w:firstLine="0" w:firstLineChars="0"/>
              <w:rPr>
                <w:rFonts w:hint="default" w:eastAsia="宋体"/>
                <w:b/>
                <w:bCs/>
                <w:iCs/>
                <w:szCs w:val="20"/>
                <w:lang w:val="en-US" w:eastAsia="zh-CN"/>
              </w:rPr>
            </w:pPr>
            <w:r>
              <w:rPr>
                <w:rFonts w:hint="eastAsia"/>
                <w:b/>
                <w:bCs/>
                <w:iCs/>
                <w:szCs w:val="20"/>
                <w:lang w:val="en-US" w:eastAsia="zh-CN"/>
              </w:rPr>
              <w:t>6 (Rel-19 leftover)</w:t>
            </w:r>
          </w:p>
        </w:tc>
        <w:tc>
          <w:tcPr>
            <w:tcW w:w="4823" w:type="dxa"/>
          </w:tcPr>
          <w:p w14:paraId="34067F6E">
            <w:pPr>
              <w:pStyle w:val="38"/>
              <w:spacing w:after="0"/>
              <w:ind w:firstLine="0" w:firstLineChars="0"/>
              <w:rPr>
                <w:rFonts w:hint="default" w:eastAsia="宋体"/>
                <w:bCs/>
                <w:iCs/>
                <w:szCs w:val="20"/>
                <w:lang w:val="en-US" w:eastAsia="zh-CN"/>
              </w:rPr>
            </w:pPr>
            <w:r>
              <w:rPr>
                <w:rFonts w:hint="eastAsia"/>
                <w:bCs/>
                <w:iCs/>
                <w:szCs w:val="20"/>
                <w:lang w:val="en-US" w:eastAsia="zh-CN"/>
              </w:rPr>
              <w:t>SBFD coexisting with SBFD in FR1</w:t>
            </w:r>
          </w:p>
        </w:tc>
        <w:tc>
          <w:tcPr>
            <w:tcW w:w="3320" w:type="dxa"/>
          </w:tcPr>
          <w:p w14:paraId="7FC95BEA">
            <w:pPr>
              <w:spacing w:after="0"/>
              <w:jc w:val="left"/>
              <w:rPr>
                <w:rFonts w:hint="eastAsia" w:eastAsiaTheme="minorEastAsia"/>
              </w:rPr>
            </w:pPr>
            <w:r>
              <w:rPr>
                <w:rFonts w:hint="eastAsia" w:eastAsiaTheme="minorEastAsia"/>
              </w:rPr>
              <w:t>High priority</w:t>
            </w:r>
          </w:p>
        </w:tc>
      </w:tr>
    </w:tbl>
    <w:p w14:paraId="411DD932">
      <w:pPr>
        <w:spacing w:after="0"/>
        <w:jc w:val="left"/>
        <w:rPr>
          <w:rFonts w:eastAsiaTheme="minorEastAsia"/>
        </w:rPr>
      </w:pPr>
    </w:p>
    <w:p w14:paraId="2E1844AB">
      <w:pPr>
        <w:pStyle w:val="59"/>
        <w:numPr>
          <w:ilvl w:val="0"/>
          <w:numId w:val="0"/>
        </w:numPr>
        <w:tabs>
          <w:tab w:val="left" w:pos="567"/>
          <w:tab w:val="clear" w:pos="1985"/>
        </w:tabs>
        <w:adjustRightInd w:val="0"/>
        <w:spacing w:line="260" w:lineRule="auto"/>
        <w:outlineLvl w:val="2"/>
      </w:pPr>
      <w:r>
        <w:rPr>
          <w:rFonts w:hint="eastAsia"/>
        </w:rPr>
        <w:t xml:space="preserve">2.1.2 Justification </w:t>
      </w:r>
    </w:p>
    <w:p w14:paraId="740F1229">
      <w:pPr>
        <w:spacing w:after="0"/>
        <w:jc w:val="left"/>
        <w:rPr>
          <w:rFonts w:eastAsiaTheme="minorEastAsia"/>
        </w:rPr>
      </w:pPr>
      <w:r>
        <w:rPr>
          <w:rFonts w:hint="eastAsia" w:eastAsiaTheme="minorEastAsia"/>
          <w:b/>
          <w:bCs/>
        </w:rPr>
        <w:t>Objective 1</w:t>
      </w:r>
      <w:r>
        <w:rPr>
          <w:rFonts w:hint="eastAsia" w:eastAsiaTheme="minorEastAsia"/>
        </w:rPr>
        <w:t xml:space="preserve">: </w:t>
      </w:r>
    </w:p>
    <w:p w14:paraId="01389806">
      <w:pPr>
        <w:spacing w:after="0"/>
        <w:jc w:val="left"/>
        <w:rPr>
          <w:rFonts w:eastAsiaTheme="minorEastAsia"/>
        </w:rPr>
      </w:pPr>
      <w:r>
        <w:rPr>
          <w:rFonts w:eastAsiaTheme="minorEastAsia"/>
        </w:rPr>
        <w:t xml:space="preserve">The existing BS co-location requirement in </w:t>
      </w:r>
      <w:r>
        <w:rPr>
          <w:rFonts w:hint="eastAsia" w:eastAsiaTheme="minorEastAsia"/>
        </w:rPr>
        <w:t>FR1</w:t>
      </w:r>
      <w:r>
        <w:rPr>
          <w:rFonts w:eastAsiaTheme="minorEastAsia"/>
        </w:rPr>
        <w:t xml:space="preserve"> relies on a Maximum Coupling Loss (MCL) assumption of 30 dBc, which was adopted from FR1 low bands</w:t>
      </w:r>
      <w:r>
        <w:rPr>
          <w:rFonts w:hint="eastAsia" w:eastAsiaTheme="minorEastAsia"/>
        </w:rPr>
        <w:t xml:space="preserve"> dating back to the UTRA phase</w:t>
      </w:r>
      <w:r>
        <w:rPr>
          <w:rFonts w:eastAsiaTheme="minorEastAsia"/>
        </w:rPr>
        <w:t xml:space="preserve">. However, during the Release 19 phase, it was </w:t>
      </w:r>
      <w:r>
        <w:rPr>
          <w:rFonts w:hint="eastAsia" w:eastAsiaTheme="minorEastAsia"/>
        </w:rPr>
        <w:t>identified</w:t>
      </w:r>
      <w:r>
        <w:rPr>
          <w:rFonts w:eastAsiaTheme="minorEastAsia"/>
        </w:rPr>
        <w:t xml:space="preserve"> that the 30 dBc MCL assumption was no longer valid for FR1 high bands. In the Release 20 phase, it is crucial to resolve these issues, particularly for FR1 BSs with massive MIMO operation. Appropriate requirement definitions can effectively guide and support the design of front-end filters.</w:t>
      </w:r>
    </w:p>
    <w:p w14:paraId="732CCBA9">
      <w:pPr>
        <w:spacing w:after="0"/>
        <w:jc w:val="left"/>
        <w:rPr>
          <w:rFonts w:eastAsiaTheme="minorEastAsia"/>
        </w:rPr>
      </w:pPr>
      <w:r>
        <w:rPr>
          <w:rFonts w:hint="eastAsia" w:eastAsiaTheme="minorEastAsia"/>
          <w:b/>
          <w:bCs/>
        </w:rPr>
        <w:t>Objective 2a</w:t>
      </w:r>
      <w:r>
        <w:rPr>
          <w:rFonts w:hint="eastAsia" w:eastAsiaTheme="minorEastAsia"/>
        </w:rPr>
        <w:t>:</w:t>
      </w:r>
    </w:p>
    <w:p w14:paraId="188DF60E">
      <w:pPr>
        <w:spacing w:after="0"/>
        <w:jc w:val="left"/>
        <w:rPr>
          <w:rFonts w:eastAsiaTheme="minorEastAsia"/>
        </w:rPr>
      </w:pPr>
      <w:r>
        <w:rPr>
          <w:rFonts w:hint="eastAsia" w:eastAsiaTheme="minorEastAsia"/>
        </w:rPr>
        <w:t>For the legacy FR1 NR BS deployed so far, it is very typical to implement the full digital beamforming architecture with fixed tilt setting within each sub-array</w:t>
      </w:r>
      <w:r>
        <w:rPr>
          <w:rFonts w:eastAsiaTheme="minorEastAsia"/>
        </w:rPr>
        <w:t>. H</w:t>
      </w:r>
      <w:r>
        <w:rPr>
          <w:rFonts w:hint="eastAsia" w:eastAsiaTheme="minorEastAsia"/>
        </w:rPr>
        <w:t xml:space="preserve">owever for FR1 </w:t>
      </w:r>
      <w:r>
        <w:rPr>
          <w:rFonts w:eastAsiaTheme="minorEastAsia"/>
        </w:rPr>
        <w:t>upper mid</w:t>
      </w:r>
      <w:r>
        <w:rPr>
          <w:rFonts w:hint="eastAsia" w:eastAsiaTheme="minorEastAsia"/>
        </w:rPr>
        <w:t xml:space="preserve"> bands (e.g.U6GHz), hybrid beamforming architecture will be</w:t>
      </w:r>
      <w:r>
        <w:rPr>
          <w:rFonts w:eastAsiaTheme="minorEastAsia"/>
        </w:rPr>
        <w:t xml:space="preserve"> a</w:t>
      </w:r>
      <w:r>
        <w:rPr>
          <w:rFonts w:hint="eastAsia" w:eastAsiaTheme="minorEastAsia"/>
        </w:rPr>
        <w:t xml:space="preserve"> more important</w:t>
      </w:r>
      <w:r>
        <w:rPr>
          <w:rFonts w:eastAsiaTheme="minorEastAsia"/>
        </w:rPr>
        <w:t xml:space="preserve"> form of</w:t>
      </w:r>
      <w:r>
        <w:rPr>
          <w:rFonts w:hint="eastAsia" w:eastAsiaTheme="minorEastAsia"/>
        </w:rPr>
        <w:t xml:space="preserve"> implementation to balance the trade off between the number of transmitters and the large number of antenna elements (e.g. up to 1k or 1.5k antenna elements). For the hybrid beamforming architecture of FR1 BS type 1-H, due to the active components within Radio Distribution Network (RDN), it is important to study and specify the appropriate requirement for BS type 1-H with hybrid beamforming. </w:t>
      </w:r>
    </w:p>
    <w:p w14:paraId="19252612">
      <w:pPr>
        <w:spacing w:after="0"/>
        <w:jc w:val="left"/>
        <w:rPr>
          <w:rFonts w:eastAsiaTheme="minorEastAsia"/>
        </w:rPr>
      </w:pPr>
      <w:r>
        <w:rPr>
          <w:rFonts w:hint="eastAsia" w:eastAsiaTheme="minorEastAsia"/>
          <w:b/>
          <w:bCs/>
        </w:rPr>
        <w:t>Objective 2b</w:t>
      </w:r>
      <w:r>
        <w:rPr>
          <w:rFonts w:hint="eastAsia" w:eastAsiaTheme="minorEastAsia"/>
        </w:rPr>
        <w:t>:</w:t>
      </w:r>
    </w:p>
    <w:p w14:paraId="41322FBF">
      <w:pPr>
        <w:spacing w:after="0"/>
        <w:jc w:val="left"/>
        <w:rPr>
          <w:rFonts w:eastAsiaTheme="minorEastAsia"/>
          <w:b/>
          <w:bCs/>
        </w:rPr>
      </w:pPr>
      <w:r>
        <w:rPr>
          <w:rFonts w:hint="eastAsia" w:eastAsiaTheme="minorEastAsia"/>
        </w:rPr>
        <w:t xml:space="preserve">For the existing BS type 1-H, there are only two radiated requirements specified e.g.EIRP and EIS. However the rest of conducted requirement might not reflect the overall radiated performance of the real operation of NR BS. In addition, for some bidding test of the operators, BS type 1-H also include some other radiated requirements e.g. EVM, ACLR, spurious emission, ACS, blocking. </w:t>
      </w:r>
    </w:p>
    <w:p w14:paraId="3D5E767F">
      <w:pPr>
        <w:spacing w:after="0"/>
        <w:jc w:val="left"/>
        <w:rPr>
          <w:rFonts w:eastAsiaTheme="minorEastAsia"/>
        </w:rPr>
      </w:pPr>
      <w:r>
        <w:rPr>
          <w:rFonts w:hint="eastAsia" w:eastAsiaTheme="minorEastAsia"/>
          <w:b/>
          <w:bCs/>
          <w:lang w:val="en-US" w:eastAsia="zh-CN"/>
        </w:rPr>
        <w:t>[</w:t>
      </w:r>
      <w:r>
        <w:rPr>
          <w:rFonts w:hint="eastAsia" w:eastAsiaTheme="minorEastAsia"/>
          <w:b/>
          <w:bCs/>
        </w:rPr>
        <w:t xml:space="preserve">Objective </w:t>
      </w:r>
      <w:r>
        <w:rPr>
          <w:rFonts w:hint="eastAsia" w:eastAsiaTheme="minorEastAsia"/>
          <w:b/>
          <w:bCs/>
          <w:lang w:val="en-US" w:eastAsia="zh-CN"/>
        </w:rPr>
        <w:t>4</w:t>
      </w:r>
      <w:r>
        <w:rPr>
          <w:rFonts w:hint="eastAsia" w:eastAsiaTheme="minorEastAsia"/>
        </w:rPr>
        <w:t xml:space="preserve">: </w:t>
      </w:r>
    </w:p>
    <w:p w14:paraId="6BF4C43F">
      <w:pPr>
        <w:spacing w:after="0"/>
        <w:jc w:val="left"/>
        <w:rPr>
          <w:rFonts w:hint="eastAsia" w:eastAsiaTheme="minorEastAsia"/>
          <w:lang w:val="en-US" w:eastAsia="zh-CN"/>
        </w:rPr>
      </w:pPr>
      <w:r>
        <w:rPr>
          <w:rFonts w:eastAsiaTheme="minorEastAsia"/>
        </w:rPr>
        <w:t>NB-IoT In-band operation, NB-IoT guard band operation,</w:t>
      </w:r>
      <w:r>
        <w:rPr>
          <w:rFonts w:hint="eastAsia" w:eastAsiaTheme="minorEastAsia"/>
        </w:rPr>
        <w:t xml:space="preserve"> </w:t>
      </w:r>
      <w:r>
        <w:rPr>
          <w:rFonts w:eastAsiaTheme="minorEastAsia"/>
        </w:rPr>
        <w:t>NB-IoT standalone operation</w:t>
      </w:r>
      <w:r>
        <w:rPr>
          <w:rFonts w:hint="eastAsia" w:eastAsiaTheme="minorEastAsia"/>
        </w:rPr>
        <w:t xml:space="preserve"> and </w:t>
      </w:r>
      <w:r>
        <w:rPr>
          <w:rFonts w:eastAsiaTheme="minorEastAsia"/>
        </w:rPr>
        <w:t>NB-IoT operation in NR in-band</w:t>
      </w:r>
      <w:r>
        <w:rPr>
          <w:rFonts w:hint="eastAsia" w:eastAsiaTheme="minorEastAsia"/>
        </w:rPr>
        <w:t xml:space="preserve">, </w:t>
      </w:r>
      <w:r>
        <w:rPr>
          <w:rFonts w:eastAsiaTheme="minorEastAsia"/>
        </w:rPr>
        <w:t>NB-IoT operation in NR guard band</w:t>
      </w:r>
      <w:r>
        <w:rPr>
          <w:rFonts w:hint="eastAsia" w:eastAsiaTheme="minorEastAsia"/>
        </w:rPr>
        <w:t xml:space="preserve"> have not been supported for AAS MSR BS or NR BS type 1-H/1-O. The primary reason for this type of restriction is that NB-IoT is expected to be deployed in operating bands below 2 GHz. However, for these specific frequency bands, BS type 1-C was the most typical BS implementation previously. Recently, for FR1 low bands (e.g. lower than 2GHz), massive MIMO is also supported to further improve the network capacity, therefore it is necessary to specify the NB-IoT operation under the BS type 1-H/1-O architecture in Rel-20.</w:t>
      </w:r>
      <w:r>
        <w:rPr>
          <w:rFonts w:hint="eastAsia" w:eastAsiaTheme="minorEastAsia"/>
          <w:lang w:val="en-US" w:eastAsia="zh-CN"/>
        </w:rPr>
        <w:t>]</w:t>
      </w:r>
    </w:p>
    <w:p w14:paraId="3ECDA947">
      <w:pPr>
        <w:spacing w:after="0"/>
        <w:jc w:val="left"/>
        <w:rPr>
          <w:rFonts w:eastAsiaTheme="minorEastAsia"/>
        </w:rPr>
      </w:pPr>
      <w:r>
        <w:rPr>
          <w:rFonts w:hint="eastAsia" w:eastAsiaTheme="minorEastAsia"/>
          <w:b/>
          <w:bCs/>
        </w:rPr>
        <w:t xml:space="preserve">Objective </w:t>
      </w:r>
      <w:r>
        <w:rPr>
          <w:rFonts w:hint="eastAsia" w:eastAsiaTheme="minorEastAsia"/>
          <w:b/>
          <w:bCs/>
          <w:lang w:val="en-US" w:eastAsia="zh-CN"/>
        </w:rPr>
        <w:t>6</w:t>
      </w:r>
      <w:r>
        <w:rPr>
          <w:rFonts w:hint="eastAsia" w:eastAsiaTheme="minorEastAsia"/>
        </w:rPr>
        <w:t xml:space="preserve">: </w:t>
      </w:r>
    </w:p>
    <w:p w14:paraId="47395943">
      <w:pPr>
        <w:spacing w:after="0"/>
        <w:jc w:val="left"/>
        <w:rPr>
          <w:rFonts w:hint="default" w:eastAsiaTheme="minorEastAsia"/>
          <w:lang w:val="en-US" w:eastAsia="zh-CN"/>
        </w:rPr>
      </w:pPr>
      <w:r>
        <w:rPr>
          <w:rFonts w:hint="eastAsia" w:eastAsiaTheme="minorEastAsia"/>
          <w:lang w:val="en-US" w:eastAsia="zh-CN"/>
        </w:rPr>
        <w:t>SBFD is one important BS evolution technique in 5G-A phase and SBFD coexisting with SBFD BS is also one important scenario to make sure that SBFD BS could be well deployed especially for some bands without any legacy TDD BS deployed so far. During the RAN4#115 meeting, it is agreed to postpone the study to the future release. It is proposed to consider this SBFD coexisting with SBFD scenario in Rel-20 5G-A phase.</w:t>
      </w:r>
    </w:p>
    <w:p w14:paraId="2819841F">
      <w:pPr>
        <w:pStyle w:val="59"/>
        <w:numPr>
          <w:ilvl w:val="0"/>
          <w:numId w:val="0"/>
        </w:numPr>
        <w:tabs>
          <w:tab w:val="left" w:pos="567"/>
          <w:tab w:val="clear" w:pos="1985"/>
        </w:tabs>
        <w:adjustRightInd w:val="0"/>
        <w:spacing w:line="260" w:lineRule="auto"/>
        <w:outlineLvl w:val="2"/>
        <w:rPr>
          <w:rFonts w:eastAsia="Times New Roman"/>
        </w:rPr>
      </w:pPr>
      <w:r>
        <w:rPr>
          <w:rFonts w:hint="eastAsia"/>
        </w:rPr>
        <w:t>2.1.3 WID objective</w:t>
      </w:r>
      <w:r>
        <w:rPr>
          <w:rFonts w:hint="eastAsia" w:eastAsia="Times New Roman"/>
        </w:rPr>
        <w:t xml:space="preserve"> </w:t>
      </w:r>
    </w:p>
    <w:p w14:paraId="75EE6E01">
      <w:pPr>
        <w:pStyle w:val="38"/>
        <w:numPr>
          <w:ilvl w:val="0"/>
          <w:numId w:val="4"/>
        </w:numPr>
        <w:spacing w:after="0"/>
        <w:ind w:firstLineChars="0"/>
        <w:rPr>
          <w:bCs/>
          <w:iCs/>
          <w:szCs w:val="20"/>
        </w:rPr>
      </w:pPr>
      <w:r>
        <w:rPr>
          <w:bCs/>
          <w:iCs/>
          <w:szCs w:val="20"/>
        </w:rPr>
        <w:t>1) Workable and testable co-location requirements for</w:t>
      </w:r>
      <w:r>
        <w:rPr>
          <w:rFonts w:hint="eastAsia"/>
          <w:bCs/>
          <w:iCs/>
          <w:szCs w:val="20"/>
        </w:rPr>
        <w:t xml:space="preserve"> NR BS operating in</w:t>
      </w:r>
      <w:r>
        <w:rPr>
          <w:bCs/>
          <w:iCs/>
          <w:szCs w:val="20"/>
        </w:rPr>
        <w:t xml:space="preserve"> FR1 high band(s)</w:t>
      </w:r>
    </w:p>
    <w:p w14:paraId="56FF06E9">
      <w:pPr>
        <w:pStyle w:val="38"/>
        <w:numPr>
          <w:ilvl w:val="1"/>
          <w:numId w:val="4"/>
        </w:numPr>
        <w:spacing w:after="0"/>
        <w:ind w:firstLineChars="0"/>
        <w:rPr>
          <w:bCs/>
          <w:iCs/>
          <w:szCs w:val="20"/>
        </w:rPr>
      </w:pPr>
      <w:r>
        <w:rPr>
          <w:bCs/>
          <w:iCs/>
          <w:szCs w:val="20"/>
        </w:rPr>
        <w:t>Necessity of this objective depends on the progress in Rel-19 and it will be checked in September 2025.</w:t>
      </w:r>
    </w:p>
    <w:p w14:paraId="10B8FDE0">
      <w:pPr>
        <w:pStyle w:val="38"/>
        <w:numPr>
          <w:ilvl w:val="2"/>
          <w:numId w:val="4"/>
        </w:numPr>
        <w:spacing w:after="0"/>
        <w:ind w:firstLineChars="0"/>
        <w:rPr>
          <w:bCs/>
          <w:iCs/>
          <w:szCs w:val="20"/>
        </w:rPr>
      </w:pPr>
      <w:r>
        <w:rPr>
          <w:rFonts w:hint="eastAsia"/>
          <w:bCs/>
          <w:iCs/>
          <w:szCs w:val="20"/>
        </w:rPr>
        <w:t>Both intra-band co-location and inter-band co-location should be considered.</w:t>
      </w:r>
    </w:p>
    <w:p w14:paraId="23F03D10">
      <w:pPr>
        <w:pStyle w:val="38"/>
        <w:numPr>
          <w:ilvl w:val="1"/>
          <w:numId w:val="4"/>
        </w:numPr>
        <w:spacing w:after="0"/>
        <w:ind w:firstLineChars="0"/>
        <w:rPr>
          <w:bCs/>
          <w:iCs/>
          <w:szCs w:val="20"/>
        </w:rPr>
      </w:pPr>
      <w:r>
        <w:rPr>
          <w:bCs/>
          <w:iCs/>
          <w:szCs w:val="20"/>
        </w:rPr>
        <w:t>NOTE: refinement of wording on this bullet is needed.</w:t>
      </w:r>
    </w:p>
    <w:p w14:paraId="52635B9D">
      <w:pPr>
        <w:pStyle w:val="38"/>
        <w:numPr>
          <w:ilvl w:val="0"/>
          <w:numId w:val="4"/>
        </w:numPr>
        <w:spacing w:after="0"/>
        <w:ind w:firstLineChars="0"/>
        <w:rPr>
          <w:bCs/>
          <w:iCs/>
          <w:szCs w:val="20"/>
        </w:rPr>
      </w:pPr>
      <w:r>
        <w:rPr>
          <w:bCs/>
          <w:iCs/>
          <w:szCs w:val="20"/>
        </w:rPr>
        <w:t>2) Additional requirement set(s) for AAS BS with more OTA requirements than the existing BS type 1-H</w:t>
      </w:r>
    </w:p>
    <w:p w14:paraId="48BE76D8">
      <w:pPr>
        <w:pStyle w:val="38"/>
        <w:numPr>
          <w:ilvl w:val="1"/>
          <w:numId w:val="4"/>
        </w:numPr>
        <w:spacing w:after="0"/>
        <w:ind w:firstLineChars="0"/>
        <w:rPr>
          <w:bCs/>
          <w:iCs/>
          <w:szCs w:val="20"/>
        </w:rPr>
      </w:pPr>
      <w:r>
        <w:rPr>
          <w:bCs/>
          <w:iCs/>
          <w:szCs w:val="20"/>
        </w:rPr>
        <w:t>Applicable specifications: AAS BS, NR BS</w:t>
      </w:r>
    </w:p>
    <w:p w14:paraId="4DE20A05">
      <w:pPr>
        <w:pStyle w:val="38"/>
        <w:numPr>
          <w:ilvl w:val="1"/>
          <w:numId w:val="4"/>
        </w:numPr>
        <w:spacing w:after="0"/>
        <w:ind w:firstLineChars="0"/>
        <w:rPr>
          <w:bCs/>
          <w:iCs/>
          <w:szCs w:val="20"/>
        </w:rPr>
      </w:pPr>
      <w:r>
        <w:rPr>
          <w:rFonts w:hint="eastAsia"/>
          <w:bCs/>
          <w:iCs/>
          <w:szCs w:val="20"/>
        </w:rPr>
        <w:t xml:space="preserve">Sub-objective 1: Specify the applicable </w:t>
      </w:r>
      <w:r>
        <w:t xml:space="preserve">conducted reference points </w:t>
      </w:r>
      <w:r>
        <w:rPr>
          <w:rFonts w:hint="eastAsia"/>
        </w:rPr>
        <w:t>of</w:t>
      </w:r>
      <w:r>
        <w:t xml:space="preserve"> </w:t>
      </w:r>
      <w:r>
        <w:rPr>
          <w:i/>
        </w:rPr>
        <w:t>BS type 1-H</w:t>
      </w:r>
      <w:r>
        <w:rPr>
          <w:rFonts w:hint="eastAsia"/>
          <w:i/>
        </w:rPr>
        <w:t xml:space="preserve"> </w:t>
      </w:r>
      <w:r>
        <w:rPr>
          <w:rFonts w:hint="eastAsia"/>
          <w:bCs/>
          <w:iCs/>
          <w:szCs w:val="20"/>
        </w:rPr>
        <w:t xml:space="preserve">for hybrid beamforming BS architecture in FR1 </w:t>
      </w:r>
    </w:p>
    <w:p w14:paraId="73A73B94">
      <w:pPr>
        <w:pStyle w:val="38"/>
        <w:numPr>
          <w:ilvl w:val="1"/>
          <w:numId w:val="4"/>
        </w:numPr>
        <w:spacing w:after="0"/>
        <w:ind w:firstLineChars="0"/>
        <w:rPr>
          <w:bCs/>
          <w:iCs/>
          <w:szCs w:val="20"/>
        </w:rPr>
      </w:pPr>
      <w:r>
        <w:rPr>
          <w:rFonts w:hint="eastAsia"/>
          <w:bCs/>
          <w:iCs/>
          <w:szCs w:val="20"/>
        </w:rPr>
        <w:t xml:space="preserve">Sub-objective 2: additional radiated requirement for BS type 1-H e.g. EVM, ACLR, spurious emission, ACS, co-located blocking requirement; </w:t>
      </w:r>
    </w:p>
    <w:p w14:paraId="57BCC588">
      <w:pPr>
        <w:pStyle w:val="38"/>
        <w:numPr>
          <w:ilvl w:val="0"/>
          <w:numId w:val="4"/>
        </w:numPr>
        <w:spacing w:after="0"/>
        <w:ind w:firstLineChars="0"/>
        <w:rPr>
          <w:bCs/>
          <w:iCs/>
          <w:szCs w:val="20"/>
        </w:rPr>
      </w:pPr>
      <w:r>
        <w:rPr>
          <w:rFonts w:hint="eastAsia"/>
          <w:bCs/>
          <w:iCs/>
          <w:szCs w:val="20"/>
          <w:lang w:val="en-US" w:eastAsia="zh-CN"/>
        </w:rPr>
        <w:t>6</w:t>
      </w:r>
      <w:r>
        <w:rPr>
          <w:bCs/>
          <w:iCs/>
          <w:szCs w:val="20"/>
        </w:rPr>
        <w:t>)</w:t>
      </w:r>
      <w:r>
        <w:rPr>
          <w:rFonts w:hint="eastAsia"/>
          <w:bCs/>
          <w:iCs/>
          <w:szCs w:val="20"/>
          <w:lang w:val="en-US" w:eastAsia="zh-CN"/>
        </w:rPr>
        <w:t xml:space="preserve"> SBFD coexisting with SBFD </w:t>
      </w:r>
      <w:r>
        <w:rPr>
          <w:bCs/>
          <w:iCs/>
          <w:szCs w:val="20"/>
        </w:rPr>
        <w:t xml:space="preserve"> </w:t>
      </w:r>
    </w:p>
    <w:p w14:paraId="60739DD3">
      <w:pPr>
        <w:pStyle w:val="38"/>
        <w:numPr>
          <w:ilvl w:val="1"/>
          <w:numId w:val="4"/>
        </w:numPr>
        <w:spacing w:after="0"/>
        <w:ind w:firstLineChars="0"/>
        <w:rPr>
          <w:bCs/>
          <w:iCs/>
          <w:szCs w:val="20"/>
        </w:rPr>
      </w:pPr>
      <w:r>
        <w:rPr>
          <w:bCs/>
          <w:iCs/>
          <w:szCs w:val="20"/>
        </w:rPr>
        <w:t xml:space="preserve">Applicable specifications: </w:t>
      </w:r>
      <w:r>
        <w:rPr>
          <w:rFonts w:hint="eastAsia"/>
          <w:bCs/>
          <w:iCs/>
          <w:szCs w:val="20"/>
          <w:lang w:val="en-US" w:eastAsia="zh-CN"/>
        </w:rPr>
        <w:t>FR1 WA and MR BS;</w:t>
      </w:r>
    </w:p>
    <w:p w14:paraId="05BC7406">
      <w:pPr>
        <w:pStyle w:val="38"/>
        <w:numPr>
          <w:ilvl w:val="1"/>
          <w:numId w:val="4"/>
        </w:numPr>
        <w:spacing w:after="0"/>
        <w:ind w:firstLineChars="0"/>
        <w:rPr>
          <w:bCs/>
          <w:iCs/>
          <w:szCs w:val="20"/>
        </w:rPr>
      </w:pPr>
      <w:r>
        <w:rPr>
          <w:rFonts w:hint="eastAsia"/>
          <w:bCs/>
          <w:iCs/>
          <w:szCs w:val="20"/>
          <w:lang w:val="en-US" w:eastAsia="zh-CN"/>
        </w:rPr>
        <w:t>To define the additional emission requirement and in-band blocking requirement;</w:t>
      </w:r>
    </w:p>
    <w:p w14:paraId="1851E285">
      <w:pPr>
        <w:pStyle w:val="59"/>
        <w:numPr>
          <w:ilvl w:val="0"/>
          <w:numId w:val="0"/>
        </w:numPr>
        <w:tabs>
          <w:tab w:val="left" w:pos="567"/>
          <w:tab w:val="clear" w:pos="1985"/>
        </w:tabs>
        <w:adjustRightInd w:val="0"/>
        <w:spacing w:line="260" w:lineRule="auto"/>
        <w:outlineLvl w:val="2"/>
        <w:rPr>
          <w:rFonts w:ascii="Times New Roman" w:hAnsi="Times New Roman"/>
          <w:bCs/>
          <w:iCs/>
          <w:szCs w:val="20"/>
        </w:rPr>
      </w:pPr>
      <w:r>
        <w:rPr>
          <w:rFonts w:hint="eastAsia"/>
        </w:rPr>
        <w:t>2.1.4 Proposed TU budget</w:t>
      </w:r>
    </w:p>
    <w:p w14:paraId="186BD9C4">
      <w:pPr>
        <w:spacing w:after="0"/>
        <w:jc w:val="left"/>
        <w:rPr>
          <w:rFonts w:eastAsiaTheme="minorEastAsia"/>
        </w:rPr>
      </w:pPr>
      <w:r>
        <w:rPr>
          <w:rFonts w:hint="eastAsia" w:eastAsiaTheme="minorEastAsia"/>
        </w:rPr>
        <w:t>Proposed Tu budget (no RAN1/RAN2 impacts expected):</w:t>
      </w:r>
    </w:p>
    <w:p w14:paraId="7C8DF8AF">
      <w:pPr>
        <w:pStyle w:val="38"/>
        <w:spacing w:after="0"/>
        <w:ind w:left="210" w:firstLine="0" w:firstLineChars="0"/>
        <w:rPr>
          <w:bCs/>
          <w:iCs/>
          <w:szCs w:val="20"/>
        </w:rPr>
      </w:pPr>
      <w:r>
        <w:drawing>
          <wp:inline distT="0" distB="0" distL="114300" distR="114300">
            <wp:extent cx="6177915" cy="554355"/>
            <wp:effectExtent l="0" t="0" r="13335" b="171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6177915" cy="554355"/>
                    </a:xfrm>
                    <a:prstGeom prst="rect">
                      <a:avLst/>
                    </a:prstGeom>
                    <a:noFill/>
                    <a:ln>
                      <a:noFill/>
                    </a:ln>
                  </pic:spPr>
                </pic:pic>
              </a:graphicData>
            </a:graphic>
          </wp:inline>
        </w:drawing>
      </w:r>
    </w:p>
    <w:p w14:paraId="6D8A5286">
      <w:pPr>
        <w:pStyle w:val="59"/>
        <w:numPr>
          <w:ilvl w:val="0"/>
          <w:numId w:val="0"/>
        </w:numPr>
        <w:tabs>
          <w:tab w:val="left" w:pos="567"/>
          <w:tab w:val="clear" w:pos="1985"/>
        </w:tabs>
        <w:adjustRightInd w:val="0"/>
        <w:spacing w:line="260" w:lineRule="auto"/>
        <w:outlineLvl w:val="1"/>
      </w:pPr>
      <w:r>
        <w:rPr>
          <w:rFonts w:hint="eastAsia"/>
        </w:rPr>
        <w:t>2.2. UE RF enhancement</w:t>
      </w:r>
    </w:p>
    <w:p w14:paraId="6E8CCFBE">
      <w:pPr>
        <w:pStyle w:val="59"/>
        <w:numPr>
          <w:ilvl w:val="0"/>
          <w:numId w:val="0"/>
        </w:numPr>
        <w:tabs>
          <w:tab w:val="left" w:pos="567"/>
          <w:tab w:val="clear" w:pos="1985"/>
        </w:tabs>
        <w:adjustRightInd w:val="0"/>
        <w:spacing w:line="260" w:lineRule="auto"/>
        <w:outlineLvl w:val="2"/>
      </w:pPr>
      <w:r>
        <w:rPr>
          <w:rFonts w:hint="eastAsia"/>
        </w:rPr>
        <w:t>2.2.1 ZTE</w:t>
      </w:r>
      <w:r>
        <w:t>’</w:t>
      </w:r>
      <w:r>
        <w:rPr>
          <w:rFonts w:hint="eastAsia"/>
        </w:rPr>
        <w:t xml:space="preserve">s view </w:t>
      </w:r>
    </w:p>
    <w:p w14:paraId="2B0AAFF9">
      <w:pPr>
        <w:spacing w:after="0"/>
        <w:jc w:val="left"/>
        <w:rPr>
          <w:rFonts w:eastAsiaTheme="minorEastAsia"/>
        </w:rPr>
      </w:pPr>
      <w:r>
        <w:rPr>
          <w:rFonts w:hint="eastAsia" w:eastAsiaTheme="minorEastAsia"/>
        </w:rPr>
        <w:t>The high level views on the companies</w:t>
      </w:r>
      <w:r>
        <w:rPr>
          <w:rFonts w:eastAsiaTheme="minorEastAsia"/>
        </w:rPr>
        <w:t>’</w:t>
      </w:r>
      <w:r>
        <w:rPr>
          <w:rFonts w:hint="eastAsia" w:eastAsiaTheme="minorEastAsia"/>
        </w:rPr>
        <w:t xml:space="preserve"> Rel-20 UE RF proposals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5149"/>
        <w:gridCol w:w="3320"/>
      </w:tblGrid>
      <w:tr w14:paraId="724C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540DB85A">
            <w:pPr>
              <w:spacing w:after="0"/>
              <w:jc w:val="left"/>
              <w:rPr>
                <w:rFonts w:eastAsiaTheme="minorEastAsia"/>
              </w:rPr>
            </w:pPr>
            <w:r>
              <w:rPr>
                <w:rFonts w:hint="eastAsia" w:eastAsiaTheme="minorEastAsia"/>
                <w:b/>
                <w:bCs/>
              </w:rPr>
              <w:t>Numbering</w:t>
            </w:r>
          </w:p>
        </w:tc>
        <w:tc>
          <w:tcPr>
            <w:tcW w:w="5149" w:type="dxa"/>
          </w:tcPr>
          <w:p w14:paraId="2D6626D1">
            <w:pPr>
              <w:spacing w:after="0"/>
              <w:jc w:val="left"/>
              <w:rPr>
                <w:rFonts w:eastAsiaTheme="minorEastAsia"/>
              </w:rPr>
            </w:pPr>
            <w:r>
              <w:rPr>
                <w:rFonts w:hint="eastAsia" w:eastAsiaTheme="minorEastAsia"/>
                <w:b/>
                <w:bCs/>
              </w:rPr>
              <w:t>Objective</w:t>
            </w:r>
          </w:p>
        </w:tc>
        <w:tc>
          <w:tcPr>
            <w:tcW w:w="3320" w:type="dxa"/>
          </w:tcPr>
          <w:p w14:paraId="42EBFCC3">
            <w:pPr>
              <w:spacing w:after="0"/>
              <w:jc w:val="left"/>
              <w:rPr>
                <w:rFonts w:eastAsiaTheme="minorEastAsia"/>
              </w:rPr>
            </w:pPr>
            <w:r>
              <w:rPr>
                <w:rFonts w:hint="eastAsia" w:eastAsiaTheme="minorEastAsia"/>
                <w:b/>
                <w:bCs/>
              </w:rPr>
              <w:t>ZTE</w:t>
            </w:r>
            <w:r>
              <w:rPr>
                <w:rFonts w:eastAsiaTheme="minorEastAsia"/>
                <w:b/>
                <w:bCs/>
              </w:rPr>
              <w:t>’</w:t>
            </w:r>
            <w:r>
              <w:rPr>
                <w:rFonts w:hint="eastAsia" w:eastAsiaTheme="minorEastAsia"/>
                <w:b/>
                <w:bCs/>
              </w:rPr>
              <w:t>s Preference</w:t>
            </w:r>
          </w:p>
        </w:tc>
      </w:tr>
      <w:tr w14:paraId="22E5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0BDE765">
            <w:pPr>
              <w:spacing w:after="0"/>
              <w:jc w:val="left"/>
              <w:rPr>
                <w:rFonts w:eastAsiaTheme="minorEastAsia"/>
              </w:rPr>
            </w:pPr>
            <w:r>
              <w:rPr>
                <w:rFonts w:hint="eastAsia" w:eastAsiaTheme="minorEastAsia"/>
              </w:rPr>
              <w:t>1</w:t>
            </w:r>
          </w:p>
        </w:tc>
        <w:tc>
          <w:tcPr>
            <w:tcW w:w="5149" w:type="dxa"/>
          </w:tcPr>
          <w:p w14:paraId="1062C49E">
            <w:pPr>
              <w:pStyle w:val="38"/>
              <w:spacing w:after="0"/>
              <w:ind w:firstLine="0" w:firstLineChars="0"/>
              <w:jc w:val="left"/>
              <w:rPr>
                <w:bCs/>
                <w:iCs/>
                <w:szCs w:val="20"/>
              </w:rPr>
            </w:pPr>
            <w:r>
              <w:rPr>
                <w:bCs/>
                <w:iCs/>
                <w:szCs w:val="20"/>
              </w:rPr>
              <w:t>FR1 HPUE enhancement (PC2/PC1.5/PC1) for single carrier and EN-DC/NR-CA</w:t>
            </w:r>
          </w:p>
          <w:p w14:paraId="381D9A59">
            <w:pPr>
              <w:pStyle w:val="38"/>
              <w:numPr>
                <w:ilvl w:val="0"/>
                <w:numId w:val="5"/>
              </w:numPr>
              <w:spacing w:after="0"/>
              <w:ind w:firstLineChars="0"/>
              <w:jc w:val="left"/>
              <w:rPr>
                <w:bCs/>
                <w:iCs/>
                <w:szCs w:val="20"/>
              </w:rPr>
            </w:pPr>
            <w:r>
              <w:rPr>
                <w:bCs/>
                <w:iCs/>
                <w:szCs w:val="20"/>
              </w:rPr>
              <w:t>This item receives common interest, but needs discussion on the feasibility of some use cases and also needs down-selection.</w:t>
            </w:r>
          </w:p>
        </w:tc>
        <w:tc>
          <w:tcPr>
            <w:tcW w:w="3320" w:type="dxa"/>
          </w:tcPr>
          <w:p w14:paraId="62B7091B">
            <w:pPr>
              <w:spacing w:after="0"/>
              <w:jc w:val="left"/>
              <w:rPr>
                <w:rFonts w:eastAsiaTheme="minorEastAsia"/>
              </w:rPr>
            </w:pPr>
            <w:r>
              <w:rPr>
                <w:rFonts w:hint="eastAsia" w:eastAsiaTheme="minorEastAsia"/>
              </w:rPr>
              <w:t>High priority</w:t>
            </w:r>
          </w:p>
        </w:tc>
      </w:tr>
      <w:tr w14:paraId="4447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4FACF0EE">
            <w:pPr>
              <w:spacing w:after="0"/>
              <w:jc w:val="left"/>
              <w:rPr>
                <w:rFonts w:eastAsiaTheme="minorEastAsia"/>
              </w:rPr>
            </w:pPr>
            <w:r>
              <w:rPr>
                <w:rFonts w:hint="eastAsia" w:eastAsiaTheme="minorEastAsia"/>
              </w:rPr>
              <w:t>2</w:t>
            </w:r>
          </w:p>
        </w:tc>
        <w:tc>
          <w:tcPr>
            <w:tcW w:w="5149" w:type="dxa"/>
          </w:tcPr>
          <w:p w14:paraId="38A3AF95">
            <w:pPr>
              <w:pStyle w:val="38"/>
              <w:spacing w:after="0"/>
              <w:ind w:firstLine="0" w:firstLineChars="0"/>
              <w:jc w:val="left"/>
              <w:rPr>
                <w:bCs/>
                <w:iCs/>
                <w:szCs w:val="20"/>
              </w:rPr>
            </w:pPr>
            <w:r>
              <w:rPr>
                <w:bCs/>
                <w:iCs/>
                <w:szCs w:val="20"/>
              </w:rPr>
              <w:t>Power enhancement with relaxed UE Tx EVM and/or uplink throughput improvement with advanced BS receiver (AI based receiver is not precluded as the starting point)</w:t>
            </w:r>
          </w:p>
          <w:p w14:paraId="7A93A7CA">
            <w:pPr>
              <w:pStyle w:val="38"/>
              <w:numPr>
                <w:ilvl w:val="0"/>
                <w:numId w:val="5"/>
              </w:numPr>
              <w:spacing w:after="0"/>
              <w:ind w:firstLineChars="0"/>
              <w:jc w:val="left"/>
              <w:rPr>
                <w:bCs/>
                <w:iCs/>
                <w:szCs w:val="20"/>
              </w:rPr>
            </w:pPr>
            <w:r>
              <w:rPr>
                <w:bCs/>
                <w:iCs/>
                <w:szCs w:val="20"/>
              </w:rPr>
              <w:t>TBD on objectives should include Tx EVM relaxation, uplink throughput improvement, or both.</w:t>
            </w:r>
          </w:p>
          <w:p w14:paraId="0D98E739">
            <w:pPr>
              <w:pStyle w:val="38"/>
              <w:numPr>
                <w:ilvl w:val="0"/>
                <w:numId w:val="5"/>
              </w:numPr>
              <w:spacing w:after="0"/>
              <w:ind w:firstLineChars="0"/>
              <w:jc w:val="left"/>
              <w:rPr>
                <w:bCs/>
                <w:iCs/>
                <w:szCs w:val="20"/>
              </w:rPr>
            </w:pPr>
            <w:r>
              <w:rPr>
                <w:bCs/>
                <w:iCs/>
                <w:szCs w:val="20"/>
              </w:rPr>
              <w:t>Study phase is needed if it is considered and FFS whether to treat it in UE RF or demod package</w:t>
            </w:r>
          </w:p>
          <w:p w14:paraId="3DEB2C7B">
            <w:pPr>
              <w:pStyle w:val="38"/>
              <w:numPr>
                <w:ilvl w:val="0"/>
                <w:numId w:val="5"/>
              </w:numPr>
              <w:spacing w:after="0"/>
              <w:ind w:firstLineChars="0"/>
              <w:jc w:val="left"/>
              <w:rPr>
                <w:bCs/>
                <w:iCs/>
                <w:szCs w:val="20"/>
              </w:rPr>
            </w:pPr>
            <w:r>
              <w:rPr>
                <w:bCs/>
                <w:iCs/>
                <w:szCs w:val="20"/>
              </w:rPr>
              <w:t>There are still concern on whether Tx EVM should be part of Rel-20 package for 5G-A.</w:t>
            </w:r>
          </w:p>
        </w:tc>
        <w:tc>
          <w:tcPr>
            <w:tcW w:w="3320" w:type="dxa"/>
            <w:shd w:val="clear" w:color="auto" w:fill="auto"/>
          </w:tcPr>
          <w:p w14:paraId="02163C0F">
            <w:pPr>
              <w:spacing w:after="0"/>
              <w:jc w:val="left"/>
              <w:rPr>
                <w:rFonts w:eastAsiaTheme="minorEastAsia"/>
              </w:rPr>
            </w:pPr>
            <w:r>
              <w:rPr>
                <w:rFonts w:hint="eastAsia" w:eastAsiaTheme="minorEastAsia"/>
              </w:rPr>
              <w:t xml:space="preserve">Have the interest and propose to further discuss it under the 6G SI phase given the workload for this objective. </w:t>
            </w:r>
          </w:p>
          <w:p w14:paraId="2A0AC8F8">
            <w:pPr>
              <w:numPr>
                <w:ilvl w:val="0"/>
                <w:numId w:val="6"/>
              </w:numPr>
              <w:spacing w:after="0"/>
              <w:jc w:val="left"/>
              <w:rPr>
                <w:rFonts w:eastAsiaTheme="minorEastAsia"/>
              </w:rPr>
            </w:pPr>
            <w:r>
              <w:rPr>
                <w:rFonts w:hint="eastAsia" w:eastAsiaTheme="minorEastAsia"/>
              </w:rPr>
              <w:t xml:space="preserve">Need some field test to emulate the UE actual PA </w:t>
            </w:r>
            <w:r>
              <w:rPr>
                <w:rFonts w:eastAsiaTheme="minorEastAsia"/>
              </w:rPr>
              <w:t>non</w:t>
            </w:r>
            <w:r>
              <w:rPr>
                <w:rFonts w:hint="eastAsia" w:eastAsiaTheme="minorEastAsia"/>
              </w:rPr>
              <w:t xml:space="preserve">-linearity performance to check the performance gain instead of PA modelling and AI based simulation; </w:t>
            </w:r>
          </w:p>
          <w:p w14:paraId="7ACC8A70">
            <w:pPr>
              <w:numPr>
                <w:ilvl w:val="0"/>
                <w:numId w:val="6"/>
              </w:numPr>
              <w:spacing w:after="0"/>
              <w:jc w:val="left"/>
              <w:rPr>
                <w:rFonts w:eastAsiaTheme="minorEastAsia"/>
              </w:rPr>
            </w:pPr>
            <w:r>
              <w:rPr>
                <w:rFonts w:hint="eastAsia" w:eastAsiaTheme="minorEastAsia"/>
              </w:rPr>
              <w:t xml:space="preserve">Performance comparison between the legacy estimation/compensation method and AI based estimation/compensation method; </w:t>
            </w:r>
          </w:p>
          <w:p w14:paraId="13E7F250">
            <w:pPr>
              <w:numPr>
                <w:ilvl w:val="0"/>
                <w:numId w:val="6"/>
              </w:numPr>
              <w:spacing w:after="0"/>
              <w:jc w:val="left"/>
              <w:rPr>
                <w:rFonts w:eastAsiaTheme="minorEastAsia"/>
              </w:rPr>
            </w:pPr>
            <w:r>
              <w:rPr>
                <w:rFonts w:hint="eastAsia" w:eastAsiaTheme="minorEastAsia"/>
              </w:rPr>
              <w:t>Baseband implementation complexity for the legacy method and AI based method.</w:t>
            </w:r>
          </w:p>
        </w:tc>
      </w:tr>
      <w:tr w14:paraId="00AF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8B300CF">
            <w:pPr>
              <w:pStyle w:val="38"/>
              <w:spacing w:after="0"/>
              <w:ind w:firstLine="0" w:firstLineChars="0"/>
              <w:rPr>
                <w:bCs/>
                <w:iCs/>
                <w:szCs w:val="20"/>
              </w:rPr>
            </w:pPr>
            <w:r>
              <w:rPr>
                <w:rFonts w:hint="eastAsia"/>
                <w:bCs/>
                <w:iCs/>
                <w:szCs w:val="20"/>
              </w:rPr>
              <w:t>3</w:t>
            </w:r>
          </w:p>
        </w:tc>
        <w:tc>
          <w:tcPr>
            <w:tcW w:w="5149" w:type="dxa"/>
          </w:tcPr>
          <w:p w14:paraId="5632C9E8">
            <w:pPr>
              <w:pStyle w:val="38"/>
              <w:spacing w:after="0"/>
              <w:ind w:firstLine="0" w:firstLineChars="0"/>
              <w:rPr>
                <w:bCs/>
                <w:iCs/>
                <w:szCs w:val="20"/>
              </w:rPr>
            </w:pPr>
            <w:r>
              <w:rPr>
                <w:bCs/>
                <w:iCs/>
                <w:szCs w:val="20"/>
              </w:rPr>
              <w:t xml:space="preserve">Band/band combination requirements simplification and MSD simplification/optimization </w:t>
            </w:r>
          </w:p>
          <w:p w14:paraId="7578B8C6">
            <w:pPr>
              <w:pStyle w:val="38"/>
              <w:numPr>
                <w:ilvl w:val="0"/>
                <w:numId w:val="5"/>
              </w:numPr>
              <w:spacing w:after="0"/>
              <w:ind w:firstLineChars="0"/>
              <w:jc w:val="left"/>
              <w:rPr>
                <w:bCs/>
                <w:iCs/>
                <w:szCs w:val="20"/>
              </w:rPr>
            </w:pPr>
            <w:r>
              <w:rPr>
                <w:bCs/>
                <w:iCs/>
                <w:szCs w:val="20"/>
              </w:rPr>
              <w:t>TBD on whether MSD work is for PC3 and/or HPUE as Rel-19 leftover work.</w:t>
            </w:r>
          </w:p>
        </w:tc>
        <w:tc>
          <w:tcPr>
            <w:tcW w:w="3320" w:type="dxa"/>
            <w:shd w:val="clear" w:color="auto" w:fill="auto"/>
          </w:tcPr>
          <w:p w14:paraId="0F0ED83E">
            <w:pPr>
              <w:spacing w:after="0"/>
              <w:jc w:val="left"/>
              <w:rPr>
                <w:rFonts w:hint="eastAsia" w:eastAsiaTheme="minorEastAsia"/>
                <w:lang w:val="en-US" w:eastAsia="zh-CN"/>
              </w:rPr>
            </w:pPr>
            <w:r>
              <w:rPr>
                <w:rFonts w:hint="eastAsia" w:eastAsiaTheme="minorEastAsia"/>
                <w:lang w:val="en-US" w:eastAsia="zh-CN"/>
              </w:rPr>
              <w:t xml:space="preserve">In Rel-19, the MSD rules of 1 band 1 UL CC and 2 band 2 UL CC for HPUE band combination were agreed. However, the MSD rules of 1 band 2 UL CC and 2 band 3UL CC are out of the scope of Rel-19. In other words, RAN4 only complete part of work for HPUE band combination MSD rules in Rel-19. </w:t>
            </w:r>
          </w:p>
          <w:p w14:paraId="2EB86D12">
            <w:pPr>
              <w:spacing w:after="0"/>
              <w:jc w:val="left"/>
              <w:rPr>
                <w:rFonts w:eastAsiaTheme="minorEastAsia"/>
              </w:rPr>
            </w:pPr>
            <w:r>
              <w:rPr>
                <w:rFonts w:hint="eastAsia" w:eastAsiaTheme="minorEastAsia"/>
                <w:lang w:val="en-US" w:eastAsia="zh-CN"/>
              </w:rPr>
              <w:t>In Rel-20, w</w:t>
            </w:r>
            <w:r>
              <w:rPr>
                <w:rFonts w:hint="eastAsia" w:eastAsiaTheme="minorEastAsia"/>
              </w:rPr>
              <w:t xml:space="preserve">e prefer to focus on HPUE band combination </w:t>
            </w:r>
            <w:r>
              <w:rPr>
                <w:rFonts w:hint="eastAsia" w:eastAsiaTheme="minorEastAsia"/>
                <w:lang w:val="en-US" w:eastAsia="zh-CN"/>
              </w:rPr>
              <w:t>leftover works</w:t>
            </w:r>
            <w:r>
              <w:rPr>
                <w:rFonts w:hint="eastAsia" w:eastAsiaTheme="minorEastAsia"/>
              </w:rPr>
              <w:t>.</w:t>
            </w:r>
            <w:bookmarkStart w:id="5" w:name="_GoBack"/>
            <w:bookmarkEnd w:id="5"/>
          </w:p>
        </w:tc>
      </w:tr>
      <w:tr w14:paraId="4B15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56AC7FB0">
            <w:pPr>
              <w:pStyle w:val="38"/>
              <w:spacing w:after="0"/>
              <w:ind w:firstLine="0" w:firstLineChars="0"/>
              <w:rPr>
                <w:bCs/>
                <w:iCs/>
                <w:szCs w:val="20"/>
              </w:rPr>
            </w:pPr>
            <w:r>
              <w:rPr>
                <w:rFonts w:hint="eastAsia"/>
                <w:bCs/>
                <w:iCs/>
                <w:szCs w:val="20"/>
              </w:rPr>
              <w:t>4</w:t>
            </w:r>
          </w:p>
        </w:tc>
        <w:tc>
          <w:tcPr>
            <w:tcW w:w="5149" w:type="dxa"/>
          </w:tcPr>
          <w:p w14:paraId="32AB549D">
            <w:pPr>
              <w:pStyle w:val="38"/>
              <w:spacing w:after="180"/>
              <w:ind w:firstLine="0" w:firstLineChars="0"/>
              <w:rPr>
                <w:bCs/>
                <w:iCs/>
                <w:szCs w:val="20"/>
              </w:rPr>
            </w:pPr>
            <w:r>
              <w:rPr>
                <w:bCs/>
                <w:iCs/>
                <w:szCs w:val="20"/>
              </w:rPr>
              <w:t>Tx requirements enhancement for U6GHz</w:t>
            </w:r>
          </w:p>
        </w:tc>
        <w:tc>
          <w:tcPr>
            <w:tcW w:w="3320" w:type="dxa"/>
          </w:tcPr>
          <w:p w14:paraId="71D9C986">
            <w:pPr>
              <w:spacing w:after="0"/>
              <w:jc w:val="left"/>
              <w:rPr>
                <w:rFonts w:eastAsiaTheme="minorEastAsia"/>
              </w:rPr>
            </w:pPr>
            <w:r>
              <w:rPr>
                <w:rFonts w:hint="eastAsia" w:eastAsiaTheme="minorEastAsia"/>
              </w:rPr>
              <w:t>Neutral</w:t>
            </w:r>
          </w:p>
        </w:tc>
      </w:tr>
      <w:tr w14:paraId="4833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09DA6BC">
            <w:pPr>
              <w:pStyle w:val="38"/>
              <w:spacing w:after="0"/>
              <w:ind w:firstLine="0" w:firstLineChars="0"/>
              <w:rPr>
                <w:bCs/>
                <w:iCs/>
                <w:szCs w:val="20"/>
              </w:rPr>
            </w:pPr>
            <w:r>
              <w:rPr>
                <w:rFonts w:hint="eastAsia"/>
                <w:bCs/>
                <w:iCs/>
                <w:szCs w:val="20"/>
              </w:rPr>
              <w:t>5</w:t>
            </w:r>
          </w:p>
        </w:tc>
        <w:tc>
          <w:tcPr>
            <w:tcW w:w="5149" w:type="dxa"/>
          </w:tcPr>
          <w:p w14:paraId="3B1239D6">
            <w:pPr>
              <w:pStyle w:val="38"/>
              <w:spacing w:after="180"/>
              <w:ind w:firstLine="0" w:firstLineChars="0"/>
              <w:rPr>
                <w:bCs/>
                <w:iCs/>
                <w:szCs w:val="20"/>
              </w:rPr>
            </w:pPr>
            <w:r>
              <w:rPr>
                <w:bCs/>
                <w:iCs/>
                <w:szCs w:val="20"/>
              </w:rPr>
              <w:t>Power classes framework</w:t>
            </w:r>
          </w:p>
        </w:tc>
        <w:tc>
          <w:tcPr>
            <w:tcW w:w="3320" w:type="dxa"/>
          </w:tcPr>
          <w:p w14:paraId="4541A1C8">
            <w:pPr>
              <w:spacing w:after="0"/>
              <w:jc w:val="left"/>
              <w:rPr>
                <w:rFonts w:eastAsiaTheme="minorEastAsia"/>
              </w:rPr>
            </w:pPr>
            <w:r>
              <w:rPr>
                <w:rFonts w:hint="eastAsia" w:eastAsiaTheme="minorEastAsia"/>
              </w:rPr>
              <w:t>Neutral, RAN4 had discussed it for about two years with little consensus, the discussion was stopped due to it is very difficult to achieve the agreements after two years</w:t>
            </w:r>
            <w:r>
              <w:rPr>
                <w:rFonts w:eastAsiaTheme="minorEastAsia"/>
              </w:rPr>
              <w:t xml:space="preserve"> of</w:t>
            </w:r>
            <w:r>
              <w:rPr>
                <w:rFonts w:hint="eastAsia" w:eastAsiaTheme="minorEastAsia"/>
              </w:rPr>
              <w:t xml:space="preserve"> discussion.</w:t>
            </w:r>
          </w:p>
          <w:p w14:paraId="01E84F33">
            <w:pPr>
              <w:spacing w:after="0"/>
              <w:jc w:val="left"/>
              <w:rPr>
                <w:rFonts w:eastAsiaTheme="minorEastAsia"/>
              </w:rPr>
            </w:pPr>
          </w:p>
        </w:tc>
      </w:tr>
      <w:tr w14:paraId="1FF8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69931307">
            <w:pPr>
              <w:pStyle w:val="38"/>
              <w:spacing w:after="0"/>
              <w:ind w:firstLine="0" w:firstLineChars="0"/>
              <w:rPr>
                <w:bCs/>
                <w:iCs/>
                <w:szCs w:val="20"/>
              </w:rPr>
            </w:pPr>
            <w:r>
              <w:rPr>
                <w:rFonts w:hint="eastAsia"/>
                <w:bCs/>
                <w:iCs/>
                <w:szCs w:val="20"/>
              </w:rPr>
              <w:t>6</w:t>
            </w:r>
          </w:p>
        </w:tc>
        <w:tc>
          <w:tcPr>
            <w:tcW w:w="5149" w:type="dxa"/>
          </w:tcPr>
          <w:p w14:paraId="4A4DD746">
            <w:pPr>
              <w:pStyle w:val="38"/>
              <w:spacing w:after="180"/>
              <w:ind w:firstLine="0" w:firstLineChars="0"/>
              <w:rPr>
                <w:bCs/>
                <w:iCs/>
                <w:szCs w:val="20"/>
              </w:rPr>
            </w:pPr>
            <w:r>
              <w:rPr>
                <w:bCs/>
                <w:iCs/>
                <w:szCs w:val="20"/>
              </w:rPr>
              <w:t>Optimize MPR/A-MPR</w:t>
            </w:r>
          </w:p>
        </w:tc>
        <w:tc>
          <w:tcPr>
            <w:tcW w:w="3320" w:type="dxa"/>
          </w:tcPr>
          <w:p w14:paraId="27486934">
            <w:pPr>
              <w:spacing w:after="0"/>
              <w:jc w:val="left"/>
              <w:rPr>
                <w:rFonts w:eastAsiaTheme="minorEastAsia"/>
              </w:rPr>
            </w:pPr>
            <w:r>
              <w:rPr>
                <w:rFonts w:hint="eastAsia" w:eastAsiaTheme="minorEastAsia"/>
              </w:rPr>
              <w:t>Have the interest and propose to discuss it under the 6G SI phase since the new UE Tx modelling requires lots of UE implementation inputs and also lots of debates are expected to minimize the RF implementation margin.</w:t>
            </w:r>
          </w:p>
        </w:tc>
      </w:tr>
      <w:tr w14:paraId="66E8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25462948">
            <w:pPr>
              <w:pStyle w:val="38"/>
              <w:spacing w:after="0"/>
              <w:ind w:firstLine="0" w:firstLineChars="0"/>
              <w:rPr>
                <w:bCs/>
                <w:iCs/>
                <w:szCs w:val="20"/>
              </w:rPr>
            </w:pPr>
            <w:r>
              <w:rPr>
                <w:rFonts w:hint="eastAsia"/>
                <w:bCs/>
                <w:iCs/>
                <w:szCs w:val="20"/>
              </w:rPr>
              <w:t>7</w:t>
            </w:r>
          </w:p>
        </w:tc>
        <w:tc>
          <w:tcPr>
            <w:tcW w:w="5149" w:type="dxa"/>
          </w:tcPr>
          <w:p w14:paraId="0FAA766B">
            <w:pPr>
              <w:pStyle w:val="38"/>
              <w:spacing w:after="180"/>
              <w:ind w:firstLine="0" w:firstLineChars="0"/>
              <w:rPr>
                <w:bCs/>
                <w:iCs/>
                <w:szCs w:val="20"/>
              </w:rPr>
            </w:pPr>
            <w:r>
              <w:rPr>
                <w:bCs/>
                <w:iCs/>
                <w:szCs w:val="20"/>
              </w:rPr>
              <w:t>Requirement enhancement to support coherent UL MIMO</w:t>
            </w:r>
          </w:p>
        </w:tc>
        <w:tc>
          <w:tcPr>
            <w:tcW w:w="3320" w:type="dxa"/>
          </w:tcPr>
          <w:p w14:paraId="198D9062">
            <w:pPr>
              <w:spacing w:after="0"/>
              <w:jc w:val="left"/>
              <w:rPr>
                <w:rFonts w:eastAsiaTheme="minorEastAsia"/>
              </w:rPr>
            </w:pPr>
            <w:r>
              <w:rPr>
                <w:rFonts w:hint="eastAsia" w:eastAsiaTheme="minorEastAsia"/>
              </w:rPr>
              <w:t>High priority</w:t>
            </w:r>
          </w:p>
        </w:tc>
      </w:tr>
      <w:tr w14:paraId="672A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BC86E4C">
            <w:pPr>
              <w:pStyle w:val="38"/>
              <w:spacing w:after="0"/>
              <w:ind w:firstLine="0" w:firstLineChars="0"/>
              <w:rPr>
                <w:bCs/>
                <w:iCs/>
                <w:szCs w:val="20"/>
              </w:rPr>
            </w:pPr>
            <w:r>
              <w:rPr>
                <w:rFonts w:hint="eastAsia"/>
                <w:bCs/>
                <w:iCs/>
                <w:szCs w:val="20"/>
              </w:rPr>
              <w:t>8</w:t>
            </w:r>
          </w:p>
        </w:tc>
        <w:tc>
          <w:tcPr>
            <w:tcW w:w="5149" w:type="dxa"/>
          </w:tcPr>
          <w:p w14:paraId="233C1C5F">
            <w:pPr>
              <w:pStyle w:val="38"/>
              <w:spacing w:after="180"/>
              <w:ind w:firstLine="0" w:firstLineChars="0"/>
              <w:rPr>
                <w:bCs/>
                <w:iCs/>
                <w:szCs w:val="20"/>
              </w:rPr>
            </w:pPr>
            <w:r>
              <w:rPr>
                <w:bCs/>
                <w:iCs/>
                <w:szCs w:val="20"/>
              </w:rPr>
              <w:t>UL Tx switching enhancement</w:t>
            </w:r>
          </w:p>
        </w:tc>
        <w:tc>
          <w:tcPr>
            <w:tcW w:w="3320" w:type="dxa"/>
          </w:tcPr>
          <w:p w14:paraId="54193C48">
            <w:pPr>
              <w:spacing w:after="0"/>
              <w:jc w:val="left"/>
              <w:rPr>
                <w:rFonts w:eastAsiaTheme="minorEastAsia"/>
              </w:rPr>
            </w:pPr>
            <w:r>
              <w:rPr>
                <w:rFonts w:hint="eastAsia" w:eastAsiaTheme="minorEastAsia"/>
              </w:rPr>
              <w:t>Neutral, pending on the Rel-19 discussion.</w:t>
            </w:r>
          </w:p>
        </w:tc>
      </w:tr>
      <w:tr w14:paraId="5049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62849664">
            <w:pPr>
              <w:pStyle w:val="38"/>
              <w:spacing w:after="0"/>
              <w:ind w:firstLine="0" w:firstLineChars="0"/>
              <w:rPr>
                <w:bCs/>
                <w:iCs/>
                <w:szCs w:val="20"/>
              </w:rPr>
            </w:pPr>
            <w:r>
              <w:rPr>
                <w:rFonts w:hint="eastAsia"/>
                <w:bCs/>
                <w:iCs/>
                <w:szCs w:val="20"/>
              </w:rPr>
              <w:t>9</w:t>
            </w:r>
          </w:p>
        </w:tc>
        <w:tc>
          <w:tcPr>
            <w:tcW w:w="5149" w:type="dxa"/>
          </w:tcPr>
          <w:p w14:paraId="138A76F0">
            <w:pPr>
              <w:pStyle w:val="38"/>
              <w:spacing w:after="180"/>
              <w:ind w:firstLine="0" w:firstLineChars="0"/>
              <w:rPr>
                <w:bCs/>
                <w:iCs/>
                <w:szCs w:val="20"/>
              </w:rPr>
            </w:pPr>
            <w:r>
              <w:rPr>
                <w:bCs/>
                <w:iCs/>
                <w:szCs w:val="20"/>
              </w:rPr>
              <w:t>256QAM evolution</w:t>
            </w:r>
          </w:p>
        </w:tc>
        <w:tc>
          <w:tcPr>
            <w:tcW w:w="3320" w:type="dxa"/>
          </w:tcPr>
          <w:p w14:paraId="42018B49">
            <w:pPr>
              <w:spacing w:after="0"/>
              <w:jc w:val="left"/>
              <w:rPr>
                <w:rFonts w:eastAsiaTheme="minorEastAsia"/>
              </w:rPr>
            </w:pPr>
            <w:r>
              <w:rPr>
                <w:rFonts w:hint="eastAsia" w:eastAsiaTheme="minorEastAsia"/>
              </w:rPr>
              <w:t>Neutral</w:t>
            </w:r>
          </w:p>
        </w:tc>
      </w:tr>
      <w:tr w14:paraId="0CAB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2764D687">
            <w:pPr>
              <w:pStyle w:val="38"/>
              <w:spacing w:after="0"/>
              <w:ind w:firstLine="0" w:firstLineChars="0"/>
              <w:rPr>
                <w:bCs/>
                <w:iCs/>
                <w:szCs w:val="20"/>
              </w:rPr>
            </w:pPr>
            <w:r>
              <w:rPr>
                <w:rFonts w:hint="eastAsia"/>
                <w:bCs/>
                <w:iCs/>
                <w:szCs w:val="20"/>
              </w:rPr>
              <w:t>10</w:t>
            </w:r>
          </w:p>
        </w:tc>
        <w:tc>
          <w:tcPr>
            <w:tcW w:w="5149" w:type="dxa"/>
          </w:tcPr>
          <w:p w14:paraId="6286AE04">
            <w:pPr>
              <w:pStyle w:val="38"/>
              <w:spacing w:after="180"/>
              <w:ind w:firstLine="0" w:firstLineChars="0"/>
              <w:rPr>
                <w:bCs/>
                <w:iCs/>
                <w:szCs w:val="20"/>
              </w:rPr>
            </w:pPr>
            <w:r>
              <w:rPr>
                <w:bCs/>
                <w:iCs/>
                <w:szCs w:val="20"/>
              </w:rPr>
              <w:t>SRS enhancement</w:t>
            </w:r>
          </w:p>
        </w:tc>
        <w:tc>
          <w:tcPr>
            <w:tcW w:w="3320" w:type="dxa"/>
          </w:tcPr>
          <w:p w14:paraId="63CEB966">
            <w:pPr>
              <w:spacing w:after="0"/>
              <w:jc w:val="left"/>
              <w:rPr>
                <w:rFonts w:eastAsiaTheme="minorEastAsia"/>
              </w:rPr>
            </w:pPr>
            <w:r>
              <w:rPr>
                <w:rFonts w:hint="eastAsia" w:eastAsiaTheme="minorEastAsia"/>
              </w:rPr>
              <w:t>Neutral</w:t>
            </w:r>
          </w:p>
        </w:tc>
      </w:tr>
      <w:tr w14:paraId="71DD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292BC641">
            <w:pPr>
              <w:pStyle w:val="38"/>
              <w:spacing w:after="0"/>
              <w:ind w:firstLine="0" w:firstLineChars="0"/>
              <w:rPr>
                <w:bCs/>
                <w:iCs/>
                <w:szCs w:val="20"/>
              </w:rPr>
            </w:pPr>
            <w:r>
              <w:rPr>
                <w:rFonts w:hint="eastAsia"/>
                <w:bCs/>
                <w:iCs/>
                <w:szCs w:val="20"/>
              </w:rPr>
              <w:t>11</w:t>
            </w:r>
          </w:p>
        </w:tc>
        <w:tc>
          <w:tcPr>
            <w:tcW w:w="5149" w:type="dxa"/>
          </w:tcPr>
          <w:p w14:paraId="0F617DAA">
            <w:pPr>
              <w:pStyle w:val="38"/>
              <w:spacing w:after="180"/>
              <w:ind w:firstLine="0" w:firstLineChars="0"/>
              <w:rPr>
                <w:bCs/>
                <w:iCs/>
                <w:szCs w:val="20"/>
              </w:rPr>
            </w:pPr>
            <w:r>
              <w:rPr>
                <w:bCs/>
                <w:iCs/>
                <w:szCs w:val="20"/>
              </w:rPr>
              <w:t>SL-U enhancement</w:t>
            </w:r>
          </w:p>
        </w:tc>
        <w:tc>
          <w:tcPr>
            <w:tcW w:w="3320" w:type="dxa"/>
          </w:tcPr>
          <w:p w14:paraId="2A1E9244">
            <w:pPr>
              <w:spacing w:after="0"/>
              <w:jc w:val="left"/>
              <w:rPr>
                <w:rFonts w:eastAsiaTheme="minorEastAsia"/>
              </w:rPr>
            </w:pPr>
            <w:r>
              <w:rPr>
                <w:rFonts w:hint="eastAsia" w:eastAsiaTheme="minorEastAsia"/>
              </w:rPr>
              <w:t>Low priority</w:t>
            </w:r>
          </w:p>
        </w:tc>
      </w:tr>
      <w:tr w14:paraId="7307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6AF2E1C7">
            <w:pPr>
              <w:pStyle w:val="38"/>
              <w:spacing w:after="0"/>
              <w:ind w:firstLine="0" w:firstLineChars="0"/>
              <w:rPr>
                <w:bCs/>
                <w:iCs/>
                <w:szCs w:val="20"/>
              </w:rPr>
            </w:pPr>
            <w:r>
              <w:rPr>
                <w:rFonts w:hint="eastAsia"/>
                <w:bCs/>
                <w:iCs/>
                <w:szCs w:val="20"/>
              </w:rPr>
              <w:t>12</w:t>
            </w:r>
          </w:p>
        </w:tc>
        <w:tc>
          <w:tcPr>
            <w:tcW w:w="5149" w:type="dxa"/>
          </w:tcPr>
          <w:p w14:paraId="02CC7008">
            <w:pPr>
              <w:pStyle w:val="38"/>
              <w:spacing w:after="180"/>
              <w:ind w:firstLine="0" w:firstLineChars="0"/>
              <w:rPr>
                <w:bCs/>
                <w:iCs/>
                <w:szCs w:val="20"/>
              </w:rPr>
            </w:pPr>
            <w:r>
              <w:rPr>
                <w:bCs/>
                <w:iCs/>
                <w:szCs w:val="20"/>
              </w:rPr>
              <w:t>MPR reduction by leveraging asymmetric ACLR</w:t>
            </w:r>
          </w:p>
        </w:tc>
        <w:tc>
          <w:tcPr>
            <w:tcW w:w="3320" w:type="dxa"/>
          </w:tcPr>
          <w:p w14:paraId="77F28332">
            <w:pPr>
              <w:spacing w:after="0"/>
              <w:jc w:val="left"/>
              <w:rPr>
                <w:rFonts w:eastAsiaTheme="minorEastAsia"/>
              </w:rPr>
            </w:pPr>
            <w:r>
              <w:rPr>
                <w:rFonts w:hint="eastAsia" w:eastAsiaTheme="minorEastAsia"/>
              </w:rPr>
              <w:t>Neutral</w:t>
            </w:r>
          </w:p>
          <w:p w14:paraId="2DA02062">
            <w:pPr>
              <w:spacing w:after="0"/>
              <w:jc w:val="left"/>
              <w:rPr>
                <w:rFonts w:eastAsiaTheme="minorEastAsia"/>
              </w:rPr>
            </w:pPr>
            <w:r>
              <w:rPr>
                <w:rFonts w:hint="eastAsia" w:eastAsiaTheme="minorEastAsia"/>
              </w:rPr>
              <w:t>Asymmetric ACLR is valid observation due to the memory effects of PA</w:t>
            </w:r>
            <w:r>
              <w:rPr>
                <w:rFonts w:eastAsiaTheme="minorEastAsia"/>
              </w:rPr>
              <w:t>.</w:t>
            </w:r>
            <w:r>
              <w:rPr>
                <w:rFonts w:hint="eastAsia" w:eastAsiaTheme="minorEastAsia"/>
              </w:rPr>
              <w:t xml:space="preserve"> </w:t>
            </w:r>
            <w:r>
              <w:rPr>
                <w:rFonts w:eastAsiaTheme="minorEastAsia"/>
              </w:rPr>
              <w:t>H</w:t>
            </w:r>
            <w:r>
              <w:rPr>
                <w:rFonts w:hint="eastAsia" w:eastAsiaTheme="minorEastAsia"/>
              </w:rPr>
              <w:t>owever this might be random from different PA vendors or even different PA chipset for the same vendor,</w:t>
            </w:r>
            <w:r>
              <w:rPr>
                <w:rFonts w:eastAsiaTheme="minorEastAsia"/>
              </w:rPr>
              <w:t xml:space="preserve"> and</w:t>
            </w:r>
            <w:r>
              <w:rPr>
                <w:rFonts w:hint="eastAsia" w:eastAsiaTheme="minorEastAsia"/>
              </w:rPr>
              <w:t xml:space="preserve"> it might be difficult to quantify the effects of asymmetric ACLR.</w:t>
            </w:r>
          </w:p>
        </w:tc>
      </w:tr>
    </w:tbl>
    <w:p w14:paraId="7551DFC5">
      <w:pPr>
        <w:spacing w:after="0"/>
        <w:jc w:val="left"/>
        <w:rPr>
          <w:rFonts w:eastAsiaTheme="minorEastAsia"/>
        </w:rPr>
      </w:pPr>
    </w:p>
    <w:p w14:paraId="61028A91">
      <w:pPr>
        <w:pStyle w:val="59"/>
        <w:numPr>
          <w:ilvl w:val="0"/>
          <w:numId w:val="0"/>
        </w:numPr>
        <w:tabs>
          <w:tab w:val="left" w:pos="567"/>
          <w:tab w:val="clear" w:pos="1985"/>
        </w:tabs>
        <w:adjustRightInd w:val="0"/>
        <w:spacing w:line="260" w:lineRule="auto"/>
        <w:outlineLvl w:val="2"/>
      </w:pPr>
      <w:r>
        <w:rPr>
          <w:rFonts w:hint="eastAsia"/>
        </w:rPr>
        <w:t xml:space="preserve">2.2.2 Justification </w:t>
      </w:r>
    </w:p>
    <w:p w14:paraId="398ABC36">
      <w:pPr>
        <w:spacing w:after="0"/>
        <w:jc w:val="left"/>
        <w:rPr>
          <w:rFonts w:eastAsiaTheme="minorEastAsia"/>
          <w:b/>
          <w:bCs/>
        </w:rPr>
      </w:pPr>
      <w:r>
        <w:rPr>
          <w:rFonts w:hint="eastAsia" w:eastAsiaTheme="minorEastAsia"/>
          <w:b/>
          <w:bCs/>
        </w:rPr>
        <w:t>Objective 1:</w:t>
      </w:r>
    </w:p>
    <w:p w14:paraId="1A632DCC">
      <w:pPr>
        <w:spacing w:after="0"/>
        <w:jc w:val="left"/>
        <w:rPr>
          <w:rFonts w:eastAsiaTheme="minorEastAsia"/>
        </w:rPr>
      </w:pPr>
      <w:r>
        <w:rPr>
          <w:rFonts w:hint="eastAsia" w:eastAsiaTheme="minorEastAsia"/>
        </w:rPr>
        <w:t>For 4Tx on a single carrier for CPE/FWA/vehicle/industrial device, only PC1.5 was defined in Rel-18. In order to further improve UL performance by increasing the UL power for FWA device, a higher power class for PC1 4Tx FWA with 4x26dBm PA configuration is a possible way.</w:t>
      </w:r>
    </w:p>
    <w:p w14:paraId="69E0BE34">
      <w:pPr>
        <w:spacing w:after="0"/>
        <w:jc w:val="left"/>
        <w:rPr>
          <w:rFonts w:eastAsiaTheme="minorEastAsia"/>
        </w:rPr>
      </w:pPr>
      <w:r>
        <w:rPr>
          <w:rFonts w:hint="eastAsia" w:eastAsiaTheme="minorEastAsia"/>
        </w:rPr>
        <w:t>For PC1.5 on a single carrier, it is only for TDD via 2Tx as of today, and only 26dBm+26dBm PA power configuration is used for PC1.5 2Tx inter-band CA and PC1.5 intra-band CA band combination. Due to the RFFE development and increasing of the demand, PC1.5 for TDD via 1Tx could be possible to further increase the UL performance. Accordingly, PC1.5 intra-band contiguous/non-contiguous CA and PC1.5 2Tx/3Tx inter-band CA band combination for the constitute NR TDD band are also possible to further increase the UL performance.</w:t>
      </w:r>
    </w:p>
    <w:p w14:paraId="6DEDBB96">
      <w:pPr>
        <w:spacing w:after="0"/>
        <w:jc w:val="left"/>
        <w:rPr>
          <w:rFonts w:eastAsiaTheme="minorEastAsia"/>
          <w:b/>
          <w:bCs/>
        </w:rPr>
      </w:pPr>
      <w:r>
        <w:rPr>
          <w:rFonts w:hint="eastAsia" w:eastAsiaTheme="minorEastAsia"/>
          <w:b/>
          <w:bCs/>
        </w:rPr>
        <w:t>Objective 7:</w:t>
      </w:r>
    </w:p>
    <w:p w14:paraId="54425C82">
      <w:pPr>
        <w:spacing w:after="0"/>
        <w:jc w:val="left"/>
        <w:rPr>
          <w:rFonts w:eastAsiaTheme="minorEastAsia"/>
        </w:rPr>
      </w:pPr>
      <w:r>
        <w:rPr>
          <w:rFonts w:hint="eastAsia" w:eastAsiaTheme="minorEastAsia"/>
        </w:rPr>
        <w:t>Coherent UL MIMO has been introduced from Rel-15 specification, however it is rare to see the commercial UE supporting this feature on the market due to the potential following assumptions:</w:t>
      </w:r>
    </w:p>
    <w:p w14:paraId="10E3BA2D">
      <w:pPr>
        <w:numPr>
          <w:ilvl w:val="0"/>
          <w:numId w:val="7"/>
        </w:numPr>
        <w:spacing w:after="0"/>
        <w:jc w:val="left"/>
        <w:rPr>
          <w:rFonts w:eastAsiaTheme="minorEastAsia"/>
        </w:rPr>
      </w:pPr>
      <w:r>
        <w:rPr>
          <w:rFonts w:hint="eastAsia" w:eastAsiaTheme="minorEastAsia"/>
        </w:rPr>
        <w:t xml:space="preserve">RF chains within RFIC could well synchronized (e.g. via shared PLL and shared Quality gen circuit) </w:t>
      </w:r>
    </w:p>
    <w:p w14:paraId="0B6A06C0">
      <w:pPr>
        <w:numPr>
          <w:ilvl w:val="0"/>
          <w:numId w:val="7"/>
        </w:numPr>
        <w:spacing w:after="0"/>
        <w:jc w:val="left"/>
        <w:rPr>
          <w:rFonts w:eastAsiaTheme="minorEastAsia"/>
        </w:rPr>
      </w:pPr>
      <w:r>
        <w:rPr>
          <w:rFonts w:hint="eastAsia" w:eastAsiaTheme="minorEastAsia"/>
        </w:rPr>
        <w:t>Additional timing misalignment caused by PA, front-end filter/combiner etc.</w:t>
      </w:r>
    </w:p>
    <w:p w14:paraId="7D91A247">
      <w:pPr>
        <w:spacing w:after="0"/>
        <w:jc w:val="left"/>
        <w:rPr>
          <w:rFonts w:eastAsiaTheme="minorEastAsia"/>
        </w:rPr>
      </w:pPr>
      <w:r>
        <w:rPr>
          <w:rFonts w:hint="eastAsia" w:eastAsiaTheme="minorEastAsia"/>
        </w:rPr>
        <w:t>In Rel-20, it is proposed to study how to make the UL-MIMO to be commercially available e.g. with certain uplink transmission periodicity by introducing certain mechanism by leveraging the current DPD feedback link to do the calibration between RF chains or re-sync with DL downlink reference signal to conduct the phase calibration.</w:t>
      </w:r>
    </w:p>
    <w:p w14:paraId="570B7647">
      <w:pPr>
        <w:pStyle w:val="59"/>
        <w:numPr>
          <w:ilvl w:val="0"/>
          <w:numId w:val="0"/>
        </w:numPr>
        <w:tabs>
          <w:tab w:val="left" w:pos="567"/>
          <w:tab w:val="clear" w:pos="1985"/>
        </w:tabs>
        <w:adjustRightInd w:val="0"/>
        <w:spacing w:line="260" w:lineRule="auto"/>
        <w:outlineLvl w:val="2"/>
        <w:rPr>
          <w:rFonts w:eastAsia="Times New Roman"/>
        </w:rPr>
      </w:pPr>
      <w:r>
        <w:rPr>
          <w:rFonts w:hint="eastAsia"/>
        </w:rPr>
        <w:t>2.2.3 WID objective</w:t>
      </w:r>
      <w:r>
        <w:rPr>
          <w:rFonts w:hint="eastAsia" w:eastAsia="Times New Roman"/>
        </w:rPr>
        <w:t xml:space="preserve"> </w:t>
      </w:r>
    </w:p>
    <w:p w14:paraId="6DC55EA0">
      <w:pPr>
        <w:pStyle w:val="38"/>
        <w:numPr>
          <w:ilvl w:val="0"/>
          <w:numId w:val="4"/>
        </w:numPr>
        <w:spacing w:after="0"/>
        <w:ind w:firstLineChars="0"/>
        <w:rPr>
          <w:bCs/>
          <w:iCs/>
          <w:szCs w:val="20"/>
        </w:rPr>
      </w:pPr>
      <w:r>
        <w:rPr>
          <w:rFonts w:hint="eastAsia"/>
          <w:bCs/>
          <w:iCs/>
          <w:szCs w:val="20"/>
        </w:rPr>
        <w:t xml:space="preserve">1) </w:t>
      </w:r>
      <w:r>
        <w:rPr>
          <w:bCs/>
          <w:iCs/>
          <w:szCs w:val="20"/>
        </w:rPr>
        <w:t>FR1 HPUE enhancement (</w:t>
      </w:r>
      <w:r>
        <w:rPr>
          <w:rFonts w:hint="eastAsia"/>
          <w:bCs/>
          <w:iCs/>
          <w:szCs w:val="20"/>
        </w:rPr>
        <w:t>[</w:t>
      </w:r>
      <w:r>
        <w:rPr>
          <w:bCs/>
          <w:iCs/>
          <w:szCs w:val="20"/>
        </w:rPr>
        <w:t>PC2</w:t>
      </w:r>
      <w:r>
        <w:rPr>
          <w:rFonts w:hint="eastAsia"/>
          <w:bCs/>
          <w:iCs/>
          <w:szCs w:val="20"/>
        </w:rPr>
        <w:t>]</w:t>
      </w:r>
      <w:r>
        <w:rPr>
          <w:bCs/>
          <w:iCs/>
          <w:szCs w:val="20"/>
        </w:rPr>
        <w:t>/PC1.5/PC1) for single carrier and EN-DC/NR-CA</w:t>
      </w:r>
    </w:p>
    <w:p w14:paraId="47CC225A">
      <w:pPr>
        <w:pStyle w:val="38"/>
        <w:numPr>
          <w:ilvl w:val="1"/>
          <w:numId w:val="4"/>
        </w:numPr>
        <w:spacing w:after="0" w:line="260" w:lineRule="auto"/>
        <w:ind w:left="964" w:firstLineChars="0"/>
        <w:rPr>
          <w:bCs/>
          <w:iCs/>
          <w:szCs w:val="20"/>
        </w:rPr>
      </w:pPr>
      <w:r>
        <w:rPr>
          <w:rFonts w:hint="eastAsia"/>
          <w:bCs/>
          <w:iCs/>
          <w:szCs w:val="20"/>
        </w:rPr>
        <w:t xml:space="preserve"> Specify the requirements for PC1 with 4Tx for FWA single carrier (i.e. 4*26dBm)</w:t>
      </w:r>
    </w:p>
    <w:p w14:paraId="7D4EA4D8">
      <w:pPr>
        <w:pStyle w:val="38"/>
        <w:numPr>
          <w:ilvl w:val="1"/>
          <w:numId w:val="4"/>
        </w:numPr>
        <w:spacing w:after="0" w:line="260" w:lineRule="auto"/>
        <w:ind w:left="964" w:firstLineChars="0"/>
        <w:rPr>
          <w:bCs/>
          <w:iCs/>
          <w:szCs w:val="20"/>
        </w:rPr>
      </w:pPr>
      <w:r>
        <w:rPr>
          <w:rFonts w:hint="eastAsia"/>
          <w:bCs/>
          <w:iCs/>
          <w:szCs w:val="20"/>
        </w:rPr>
        <w:t xml:space="preserve"> Investigate and specify the requirement PC1.5 with 1Tx, including:</w:t>
      </w:r>
    </w:p>
    <w:p w14:paraId="4D16DD9E">
      <w:pPr>
        <w:pStyle w:val="38"/>
        <w:numPr>
          <w:ilvl w:val="2"/>
          <w:numId w:val="4"/>
        </w:numPr>
        <w:spacing w:after="0" w:line="260" w:lineRule="auto"/>
        <w:ind w:left="1384" w:firstLineChars="0"/>
        <w:rPr>
          <w:bCs/>
          <w:iCs/>
          <w:szCs w:val="20"/>
        </w:rPr>
      </w:pPr>
      <w:r>
        <w:rPr>
          <w:rFonts w:hint="eastAsia"/>
          <w:bCs/>
          <w:iCs/>
          <w:szCs w:val="20"/>
        </w:rPr>
        <w:t xml:space="preserve"> Single carrier operation. Example band: [n41, n77/n78, n79, n104]</w:t>
      </w:r>
    </w:p>
    <w:p w14:paraId="0140C6A7">
      <w:pPr>
        <w:pStyle w:val="38"/>
        <w:numPr>
          <w:ilvl w:val="2"/>
          <w:numId w:val="4"/>
        </w:numPr>
        <w:spacing w:after="0" w:line="260" w:lineRule="auto"/>
        <w:ind w:left="1384" w:firstLineChars="0"/>
        <w:rPr>
          <w:bCs/>
          <w:iCs/>
          <w:szCs w:val="20"/>
        </w:rPr>
      </w:pPr>
      <w:r>
        <w:rPr>
          <w:rFonts w:hint="eastAsia"/>
          <w:bCs/>
          <w:iCs/>
          <w:szCs w:val="20"/>
        </w:rPr>
        <w:t xml:space="preserve"> Intra-band contiguous and non-contiguous CA operation: </w:t>
      </w:r>
    </w:p>
    <w:p w14:paraId="2D119663">
      <w:pPr>
        <w:pStyle w:val="38"/>
        <w:numPr>
          <w:ilvl w:val="3"/>
          <w:numId w:val="4"/>
        </w:numPr>
        <w:spacing w:after="0" w:line="260" w:lineRule="auto"/>
        <w:ind w:left="1804" w:firstLineChars="0"/>
        <w:rPr>
          <w:bCs/>
          <w:iCs/>
          <w:szCs w:val="20"/>
        </w:rPr>
      </w:pPr>
      <w:r>
        <w:rPr>
          <w:rFonts w:hint="eastAsia"/>
          <w:bCs/>
          <w:iCs/>
          <w:szCs w:val="20"/>
        </w:rPr>
        <w:t>Example band combination: [n41C, n77C/n78C, n79C, n104C] for intra-band contiguous CA, and [n41(2A), n77(2A)/n78(2A)]</w:t>
      </w:r>
    </w:p>
    <w:p w14:paraId="16C323C4">
      <w:pPr>
        <w:pStyle w:val="38"/>
        <w:numPr>
          <w:ilvl w:val="1"/>
          <w:numId w:val="4"/>
        </w:numPr>
        <w:spacing w:after="0" w:line="260" w:lineRule="auto"/>
        <w:ind w:left="964" w:firstLineChars="0"/>
        <w:rPr>
          <w:bCs/>
          <w:iCs/>
          <w:szCs w:val="20"/>
        </w:rPr>
      </w:pPr>
      <w:r>
        <w:rPr>
          <w:rFonts w:hint="eastAsia"/>
          <w:bCs/>
          <w:iCs/>
          <w:szCs w:val="20"/>
        </w:rPr>
        <w:t>Investigate and specify the requirement for HPUE 2Tx/3Tx inter-band EN-DC/NR-CA with 1Tx PC1.5 for the constitute NR band.</w:t>
      </w:r>
    </w:p>
    <w:p w14:paraId="573FE656">
      <w:pPr>
        <w:pStyle w:val="38"/>
        <w:numPr>
          <w:ilvl w:val="0"/>
          <w:numId w:val="4"/>
        </w:numPr>
        <w:spacing w:after="0"/>
        <w:ind w:firstLineChars="0"/>
        <w:rPr>
          <w:bCs/>
          <w:iCs/>
          <w:szCs w:val="20"/>
        </w:rPr>
      </w:pPr>
      <w:r>
        <w:rPr>
          <w:rFonts w:hint="eastAsia"/>
          <w:bCs/>
          <w:iCs/>
          <w:szCs w:val="20"/>
        </w:rPr>
        <w:t xml:space="preserve">7) </w:t>
      </w:r>
      <w:r>
        <w:rPr>
          <w:bCs/>
          <w:iCs/>
          <w:szCs w:val="20"/>
        </w:rPr>
        <w:t>Requirement enhancement to support coherent UL MIMO</w:t>
      </w:r>
    </w:p>
    <w:p w14:paraId="4974686A">
      <w:pPr>
        <w:pStyle w:val="38"/>
        <w:numPr>
          <w:ilvl w:val="1"/>
          <w:numId w:val="4"/>
        </w:numPr>
        <w:spacing w:after="0" w:line="260" w:lineRule="auto"/>
        <w:ind w:left="964" w:firstLineChars="0"/>
        <w:rPr>
          <w:bCs/>
          <w:iCs/>
          <w:szCs w:val="20"/>
        </w:rPr>
      </w:pPr>
      <w:r>
        <w:rPr>
          <w:rFonts w:hint="eastAsia"/>
          <w:bCs/>
          <w:iCs/>
          <w:szCs w:val="20"/>
        </w:rPr>
        <w:t>Investigate and specify the mechanism to calibrate the transmitter chains to fulfill the UL coherent requirements;</w:t>
      </w:r>
    </w:p>
    <w:p w14:paraId="11D693B6">
      <w:pPr>
        <w:pStyle w:val="38"/>
        <w:numPr>
          <w:ilvl w:val="1"/>
          <w:numId w:val="4"/>
        </w:numPr>
        <w:spacing w:after="0" w:line="260" w:lineRule="auto"/>
        <w:ind w:left="964" w:firstLineChars="0"/>
        <w:rPr>
          <w:bCs/>
          <w:iCs/>
          <w:szCs w:val="20"/>
        </w:rPr>
      </w:pPr>
      <w:r>
        <w:rPr>
          <w:rFonts w:hint="eastAsia"/>
          <w:bCs/>
          <w:iCs/>
          <w:szCs w:val="20"/>
        </w:rPr>
        <w:t xml:space="preserve">The existing UL coherent MIMO requirement should be the baseline. </w:t>
      </w:r>
    </w:p>
    <w:p w14:paraId="6FED617D">
      <w:pPr>
        <w:pStyle w:val="59"/>
        <w:numPr>
          <w:ilvl w:val="0"/>
          <w:numId w:val="0"/>
        </w:numPr>
        <w:tabs>
          <w:tab w:val="left" w:pos="567"/>
          <w:tab w:val="clear" w:pos="1985"/>
        </w:tabs>
        <w:adjustRightInd w:val="0"/>
        <w:spacing w:line="260" w:lineRule="auto"/>
        <w:outlineLvl w:val="2"/>
        <w:rPr>
          <w:bCs/>
          <w:iCs/>
          <w:szCs w:val="20"/>
        </w:rPr>
      </w:pPr>
      <w:r>
        <w:rPr>
          <w:rFonts w:hint="eastAsia"/>
        </w:rPr>
        <w:t>2.2.4 Proposed TU budget</w:t>
      </w:r>
    </w:p>
    <w:p w14:paraId="00C1F758">
      <w:pPr>
        <w:spacing w:after="0"/>
        <w:jc w:val="left"/>
        <w:rPr>
          <w:rFonts w:eastAsiaTheme="minorEastAsia"/>
        </w:rPr>
      </w:pPr>
      <w:r>
        <w:rPr>
          <w:rFonts w:hint="eastAsia" w:eastAsiaTheme="minorEastAsia"/>
        </w:rPr>
        <w:t>Proposed Tu budget (potential some UE capability or signalling definition in RAN2):</w:t>
      </w:r>
    </w:p>
    <w:p w14:paraId="2C3A930F">
      <w:pPr>
        <w:pStyle w:val="38"/>
        <w:spacing w:after="0" w:line="260" w:lineRule="auto"/>
        <w:ind w:firstLine="0" w:firstLineChars="0"/>
        <w:rPr>
          <w:bCs/>
          <w:iCs/>
          <w:szCs w:val="20"/>
        </w:rPr>
      </w:pPr>
      <w:r>
        <w:drawing>
          <wp:inline distT="0" distB="0" distL="114300" distR="114300">
            <wp:extent cx="6178550" cy="537845"/>
            <wp:effectExtent l="0" t="0" r="12700" b="146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6178550" cy="537845"/>
                    </a:xfrm>
                    <a:prstGeom prst="rect">
                      <a:avLst/>
                    </a:prstGeom>
                    <a:noFill/>
                    <a:ln>
                      <a:noFill/>
                    </a:ln>
                  </pic:spPr>
                </pic:pic>
              </a:graphicData>
            </a:graphic>
          </wp:inline>
        </w:drawing>
      </w:r>
    </w:p>
    <w:bookmarkEnd w:id="1"/>
    <w:bookmarkEnd w:id="2"/>
    <w:bookmarkEnd w:id="3"/>
    <w:bookmarkEnd w:id="4"/>
    <w:p w14:paraId="3E55165E">
      <w:pPr>
        <w:pStyle w:val="59"/>
        <w:tabs>
          <w:tab w:val="left" w:pos="567"/>
          <w:tab w:val="clear" w:pos="1985"/>
        </w:tabs>
        <w:adjustRightInd w:val="0"/>
        <w:ind w:left="510" w:hanging="510"/>
      </w:pPr>
      <w:r>
        <w:t>Conclusions</w:t>
      </w:r>
    </w:p>
    <w:p w14:paraId="6147FB53">
      <w:pPr>
        <w:spacing w:after="0"/>
        <w:jc w:val="left"/>
        <w:rPr>
          <w:rFonts w:hint="default" w:eastAsiaTheme="minorEastAsia"/>
          <w:lang w:val="en-US"/>
        </w:rPr>
      </w:pPr>
      <w:r>
        <w:rPr>
          <w:rFonts w:hint="eastAsia" w:eastAsiaTheme="minorEastAsia"/>
        </w:rPr>
        <w:t>In this contribution, we shared some further views on Rel-20 RAN4 package based on RAN#107 moderator</w:t>
      </w:r>
      <w:r>
        <w:rPr>
          <w:rFonts w:eastAsiaTheme="minorEastAsia"/>
        </w:rPr>
        <w:t>’</w:t>
      </w:r>
      <w:r>
        <w:rPr>
          <w:rFonts w:hint="eastAsia" w:eastAsiaTheme="minorEastAsia"/>
        </w:rPr>
        <w:t>s summar</w:t>
      </w:r>
      <w:r>
        <w:rPr>
          <w:rFonts w:hint="eastAsia" w:eastAsiaTheme="minorEastAsia"/>
          <w:lang w:val="en-US" w:eastAsia="zh-CN"/>
        </w:rPr>
        <w:t>y and Rel-19 leftover issues.</w:t>
      </w:r>
    </w:p>
    <w:p w14:paraId="21817D90">
      <w:pPr>
        <w:pStyle w:val="59"/>
        <w:tabs>
          <w:tab w:val="left" w:pos="567"/>
          <w:tab w:val="clear" w:pos="1985"/>
        </w:tabs>
        <w:adjustRightInd w:val="0"/>
        <w:ind w:left="510" w:hanging="510"/>
      </w:pPr>
      <w:r>
        <w:t>References</w:t>
      </w:r>
    </w:p>
    <w:p w14:paraId="7FBAD20E">
      <w:pPr>
        <w:pStyle w:val="57"/>
        <w:numPr>
          <w:ilvl w:val="0"/>
          <w:numId w:val="8"/>
        </w:numPr>
        <w:spacing w:after="0" w:line="260" w:lineRule="auto"/>
        <w:rPr>
          <w:sz w:val="20"/>
          <w:szCs w:val="20"/>
        </w:rPr>
      </w:pPr>
      <w:r>
        <w:rPr>
          <w:rFonts w:hint="eastAsia"/>
          <w:sz w:val="20"/>
          <w:szCs w:val="20"/>
        </w:rPr>
        <w:t xml:space="preserve">Moderator's summary for RAN4 led REL-20 topics [RP-250817] </w:t>
      </w:r>
    </w:p>
    <w:p w14:paraId="3D194DA2">
      <w:pPr>
        <w:pStyle w:val="57"/>
        <w:numPr>
          <w:ilvl w:val="255"/>
          <w:numId w:val="0"/>
        </w:numPr>
        <w:spacing w:after="0" w:line="260" w:lineRule="auto"/>
        <w:rPr>
          <w:sz w:val="20"/>
          <w:szCs w:val="20"/>
        </w:rPr>
      </w:pPr>
    </w:p>
    <w:p w14:paraId="0EC42515">
      <w:pPr>
        <w:pStyle w:val="57"/>
        <w:spacing w:after="0" w:line="260" w:lineRule="auto"/>
        <w:rPr>
          <w:sz w:val="20"/>
          <w:szCs w:val="20"/>
        </w:rPr>
      </w:pPr>
    </w:p>
    <w:p w14:paraId="15CF5951">
      <w:pPr>
        <w:pStyle w:val="57"/>
        <w:spacing w:after="0" w:line="260" w:lineRule="auto"/>
        <w:rPr>
          <w:sz w:val="20"/>
          <w:szCs w:val="20"/>
        </w:rPr>
      </w:pPr>
    </w:p>
    <w:p w14:paraId="2AE35F4A">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C1D62">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079D3B4"/>
    <w:multiLevelType w:val="singleLevel"/>
    <w:tmpl w:val="E079D3B4"/>
    <w:lvl w:ilvl="0" w:tentative="0">
      <w:start w:val="1"/>
      <w:numFmt w:val="bullet"/>
      <w:lvlText w:val=""/>
      <w:lvlJc w:val="left"/>
      <w:pPr>
        <w:ind w:left="420" w:hanging="420"/>
      </w:pPr>
      <w:rPr>
        <w:rFonts w:hint="default" w:ascii="Wingdings" w:hAnsi="Wingdings"/>
      </w:rPr>
    </w:lvl>
  </w:abstractNum>
  <w:abstractNum w:abstractNumId="2">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3">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4D81D92"/>
    <w:multiLevelType w:val="multilevel"/>
    <w:tmpl w:val="54D81D92"/>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5">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5E76DAD0"/>
    <w:multiLevelType w:val="singleLevel"/>
    <w:tmpl w:val="5E76DAD0"/>
    <w:lvl w:ilvl="0" w:tentative="0">
      <w:start w:val="1"/>
      <w:numFmt w:val="bullet"/>
      <w:lvlText w:val=""/>
      <w:lvlJc w:val="left"/>
      <w:pPr>
        <w:ind w:left="420" w:hanging="420"/>
      </w:pPr>
      <w:rPr>
        <w:rFonts w:hint="default" w:ascii="Wingdings" w:hAnsi="Wingdings"/>
      </w:rPr>
    </w:lvl>
  </w:abstractNum>
  <w:abstractNum w:abstractNumId="7">
    <w:nsid w:val="679EC406"/>
    <w:multiLevelType w:val="singleLevel"/>
    <w:tmpl w:val="679EC406"/>
    <w:lvl w:ilvl="0" w:tentative="0">
      <w:start w:val="1"/>
      <w:numFmt w:val="decimal"/>
      <w:suff w:val="space"/>
      <w:lvlText w:val="%1)"/>
      <w:lvlJc w:val="left"/>
    </w:lvl>
  </w:abstractNum>
  <w:num w:numId="1">
    <w:abstractNumId w:val="5"/>
  </w:num>
  <w:num w:numId="2">
    <w:abstractNumId w:val="2"/>
  </w:num>
  <w:num w:numId="3">
    <w:abstractNumId w:val="3"/>
  </w:num>
  <w:num w:numId="4">
    <w:abstractNumId w:val="4"/>
  </w:num>
  <w:num w:numId="5">
    <w:abstractNumId w:val="1"/>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1A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2A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1C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711"/>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49F2"/>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98"/>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8AD"/>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B4"/>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E4"/>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B52"/>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4EDC"/>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5C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7C6"/>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53B"/>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ECA"/>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A87"/>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1F4523"/>
    <w:rsid w:val="01237C8B"/>
    <w:rsid w:val="012823DD"/>
    <w:rsid w:val="012A6A7A"/>
    <w:rsid w:val="012B6D59"/>
    <w:rsid w:val="013A4C94"/>
    <w:rsid w:val="01417D3E"/>
    <w:rsid w:val="01442D89"/>
    <w:rsid w:val="014F46AE"/>
    <w:rsid w:val="01522256"/>
    <w:rsid w:val="0153453C"/>
    <w:rsid w:val="01586859"/>
    <w:rsid w:val="01594895"/>
    <w:rsid w:val="015C06BF"/>
    <w:rsid w:val="015D0D5E"/>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D80564"/>
    <w:rsid w:val="01E1598F"/>
    <w:rsid w:val="01E268ED"/>
    <w:rsid w:val="01E73907"/>
    <w:rsid w:val="01EB317B"/>
    <w:rsid w:val="01EB414A"/>
    <w:rsid w:val="01ED0229"/>
    <w:rsid w:val="01F17B19"/>
    <w:rsid w:val="01F219C7"/>
    <w:rsid w:val="01F33D9D"/>
    <w:rsid w:val="01F60577"/>
    <w:rsid w:val="01FD0759"/>
    <w:rsid w:val="01FD566D"/>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008C1"/>
    <w:rsid w:val="02532AA9"/>
    <w:rsid w:val="02571C51"/>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5288F"/>
    <w:rsid w:val="02D634CE"/>
    <w:rsid w:val="02D63692"/>
    <w:rsid w:val="02D72CF0"/>
    <w:rsid w:val="02DB3978"/>
    <w:rsid w:val="02DC6BBC"/>
    <w:rsid w:val="02DE2EF8"/>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D6B51"/>
    <w:rsid w:val="031E0FAC"/>
    <w:rsid w:val="031E4C95"/>
    <w:rsid w:val="03251730"/>
    <w:rsid w:val="03260F70"/>
    <w:rsid w:val="03284E77"/>
    <w:rsid w:val="032907E2"/>
    <w:rsid w:val="03290A22"/>
    <w:rsid w:val="032C55B7"/>
    <w:rsid w:val="032E4DBB"/>
    <w:rsid w:val="032F672A"/>
    <w:rsid w:val="0332111E"/>
    <w:rsid w:val="03332CAE"/>
    <w:rsid w:val="03343BC7"/>
    <w:rsid w:val="033773F8"/>
    <w:rsid w:val="033D44BC"/>
    <w:rsid w:val="033F42EC"/>
    <w:rsid w:val="033F52A3"/>
    <w:rsid w:val="033F7E0C"/>
    <w:rsid w:val="03402EB3"/>
    <w:rsid w:val="03477E6F"/>
    <w:rsid w:val="034C342E"/>
    <w:rsid w:val="034E22DA"/>
    <w:rsid w:val="034E41AA"/>
    <w:rsid w:val="0354325C"/>
    <w:rsid w:val="035C4C68"/>
    <w:rsid w:val="035D2EB4"/>
    <w:rsid w:val="03651217"/>
    <w:rsid w:val="03687ADD"/>
    <w:rsid w:val="03696DA6"/>
    <w:rsid w:val="036A231E"/>
    <w:rsid w:val="037153A5"/>
    <w:rsid w:val="03774924"/>
    <w:rsid w:val="03822F79"/>
    <w:rsid w:val="038B3715"/>
    <w:rsid w:val="039568DC"/>
    <w:rsid w:val="0395764C"/>
    <w:rsid w:val="0397607D"/>
    <w:rsid w:val="039B69FD"/>
    <w:rsid w:val="03A32E58"/>
    <w:rsid w:val="03AC2829"/>
    <w:rsid w:val="03B728E0"/>
    <w:rsid w:val="03C0647A"/>
    <w:rsid w:val="03C20E03"/>
    <w:rsid w:val="03C4766B"/>
    <w:rsid w:val="03C6618A"/>
    <w:rsid w:val="03C80D80"/>
    <w:rsid w:val="03CD06E1"/>
    <w:rsid w:val="03CD6E1F"/>
    <w:rsid w:val="03CF6F0E"/>
    <w:rsid w:val="03D077B2"/>
    <w:rsid w:val="03D07F28"/>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2A0CA0"/>
    <w:rsid w:val="04343972"/>
    <w:rsid w:val="043711E5"/>
    <w:rsid w:val="04376B0F"/>
    <w:rsid w:val="04423926"/>
    <w:rsid w:val="0444143C"/>
    <w:rsid w:val="0444783F"/>
    <w:rsid w:val="044734BF"/>
    <w:rsid w:val="044753DC"/>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890110"/>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1F632A"/>
    <w:rsid w:val="052432F7"/>
    <w:rsid w:val="05280A89"/>
    <w:rsid w:val="052A278C"/>
    <w:rsid w:val="052D14A7"/>
    <w:rsid w:val="052D4A73"/>
    <w:rsid w:val="05367F8C"/>
    <w:rsid w:val="053C34DE"/>
    <w:rsid w:val="053E1AC2"/>
    <w:rsid w:val="053E2F60"/>
    <w:rsid w:val="053E6829"/>
    <w:rsid w:val="053F01C9"/>
    <w:rsid w:val="05403ABE"/>
    <w:rsid w:val="0545651B"/>
    <w:rsid w:val="05564384"/>
    <w:rsid w:val="05583DC1"/>
    <w:rsid w:val="055A77BF"/>
    <w:rsid w:val="055C5DB2"/>
    <w:rsid w:val="055C75CE"/>
    <w:rsid w:val="05631D30"/>
    <w:rsid w:val="05687505"/>
    <w:rsid w:val="056E233D"/>
    <w:rsid w:val="05734531"/>
    <w:rsid w:val="05784E56"/>
    <w:rsid w:val="057C7AAB"/>
    <w:rsid w:val="057E7581"/>
    <w:rsid w:val="057F0408"/>
    <w:rsid w:val="05804262"/>
    <w:rsid w:val="05816D10"/>
    <w:rsid w:val="058E6ED4"/>
    <w:rsid w:val="05930F73"/>
    <w:rsid w:val="05940F3F"/>
    <w:rsid w:val="059565ED"/>
    <w:rsid w:val="05991C8F"/>
    <w:rsid w:val="059C72DA"/>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872E9"/>
    <w:rsid w:val="05D9088E"/>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91410"/>
    <w:rsid w:val="063F20A9"/>
    <w:rsid w:val="064001EE"/>
    <w:rsid w:val="0646400E"/>
    <w:rsid w:val="06474EFD"/>
    <w:rsid w:val="064767A0"/>
    <w:rsid w:val="06493A8C"/>
    <w:rsid w:val="064A35EA"/>
    <w:rsid w:val="064B521E"/>
    <w:rsid w:val="064C2727"/>
    <w:rsid w:val="065345F9"/>
    <w:rsid w:val="065740AF"/>
    <w:rsid w:val="065A56A2"/>
    <w:rsid w:val="065E4C7F"/>
    <w:rsid w:val="066071A5"/>
    <w:rsid w:val="0665756F"/>
    <w:rsid w:val="066F6122"/>
    <w:rsid w:val="06735C62"/>
    <w:rsid w:val="067570AB"/>
    <w:rsid w:val="06776362"/>
    <w:rsid w:val="067B39B4"/>
    <w:rsid w:val="067D28AB"/>
    <w:rsid w:val="06805AC5"/>
    <w:rsid w:val="06836FEC"/>
    <w:rsid w:val="068523FB"/>
    <w:rsid w:val="06852909"/>
    <w:rsid w:val="0687062B"/>
    <w:rsid w:val="06891246"/>
    <w:rsid w:val="068A178F"/>
    <w:rsid w:val="068C6317"/>
    <w:rsid w:val="069B1966"/>
    <w:rsid w:val="06A04C65"/>
    <w:rsid w:val="06A22FF5"/>
    <w:rsid w:val="06A32A23"/>
    <w:rsid w:val="06A55EB9"/>
    <w:rsid w:val="06A739A2"/>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C0D73"/>
    <w:rsid w:val="071D08AB"/>
    <w:rsid w:val="07220D76"/>
    <w:rsid w:val="07233462"/>
    <w:rsid w:val="072717DA"/>
    <w:rsid w:val="07277193"/>
    <w:rsid w:val="072B7E46"/>
    <w:rsid w:val="072F2139"/>
    <w:rsid w:val="07330557"/>
    <w:rsid w:val="073B285A"/>
    <w:rsid w:val="073F4D45"/>
    <w:rsid w:val="07420D70"/>
    <w:rsid w:val="07436058"/>
    <w:rsid w:val="074C6006"/>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12A"/>
    <w:rsid w:val="077B24B0"/>
    <w:rsid w:val="077F531B"/>
    <w:rsid w:val="077F542D"/>
    <w:rsid w:val="077F5D16"/>
    <w:rsid w:val="07817B19"/>
    <w:rsid w:val="07896FC7"/>
    <w:rsid w:val="078B062A"/>
    <w:rsid w:val="078E735B"/>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5685B"/>
    <w:rsid w:val="07F6635B"/>
    <w:rsid w:val="07F70823"/>
    <w:rsid w:val="07F97CF9"/>
    <w:rsid w:val="0800676F"/>
    <w:rsid w:val="080511A2"/>
    <w:rsid w:val="08056749"/>
    <w:rsid w:val="080F4BCD"/>
    <w:rsid w:val="08171593"/>
    <w:rsid w:val="08204628"/>
    <w:rsid w:val="0827264B"/>
    <w:rsid w:val="082A0972"/>
    <w:rsid w:val="0835476E"/>
    <w:rsid w:val="08367FC2"/>
    <w:rsid w:val="08391661"/>
    <w:rsid w:val="0839318B"/>
    <w:rsid w:val="083D6FDD"/>
    <w:rsid w:val="084E0029"/>
    <w:rsid w:val="084F213F"/>
    <w:rsid w:val="08514A4D"/>
    <w:rsid w:val="08550FFB"/>
    <w:rsid w:val="085B2B84"/>
    <w:rsid w:val="085B58CB"/>
    <w:rsid w:val="085B5CAA"/>
    <w:rsid w:val="085D6C7E"/>
    <w:rsid w:val="08611CAF"/>
    <w:rsid w:val="0865781A"/>
    <w:rsid w:val="0866133E"/>
    <w:rsid w:val="08692F64"/>
    <w:rsid w:val="087716A2"/>
    <w:rsid w:val="08780590"/>
    <w:rsid w:val="087E046C"/>
    <w:rsid w:val="087F635C"/>
    <w:rsid w:val="08813C88"/>
    <w:rsid w:val="08830C2D"/>
    <w:rsid w:val="08891D2A"/>
    <w:rsid w:val="088D794D"/>
    <w:rsid w:val="08934B1E"/>
    <w:rsid w:val="08942BDF"/>
    <w:rsid w:val="089538A4"/>
    <w:rsid w:val="08984272"/>
    <w:rsid w:val="089852F1"/>
    <w:rsid w:val="08990610"/>
    <w:rsid w:val="089B5449"/>
    <w:rsid w:val="089D6B7D"/>
    <w:rsid w:val="08A03B5E"/>
    <w:rsid w:val="08A275F2"/>
    <w:rsid w:val="08A954E5"/>
    <w:rsid w:val="08B21918"/>
    <w:rsid w:val="08B40442"/>
    <w:rsid w:val="08B94847"/>
    <w:rsid w:val="08BA69F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21D41"/>
    <w:rsid w:val="096308E4"/>
    <w:rsid w:val="096913F9"/>
    <w:rsid w:val="096A6D80"/>
    <w:rsid w:val="096B649C"/>
    <w:rsid w:val="096D7093"/>
    <w:rsid w:val="096F18AA"/>
    <w:rsid w:val="096F1D52"/>
    <w:rsid w:val="09713F26"/>
    <w:rsid w:val="0972140E"/>
    <w:rsid w:val="097862A6"/>
    <w:rsid w:val="09793B17"/>
    <w:rsid w:val="09796C44"/>
    <w:rsid w:val="097A2EBF"/>
    <w:rsid w:val="097E4066"/>
    <w:rsid w:val="097E56C1"/>
    <w:rsid w:val="097F762B"/>
    <w:rsid w:val="098344BC"/>
    <w:rsid w:val="09846B33"/>
    <w:rsid w:val="098A1B59"/>
    <w:rsid w:val="098D22CE"/>
    <w:rsid w:val="098E0CC9"/>
    <w:rsid w:val="09902C37"/>
    <w:rsid w:val="09957BB0"/>
    <w:rsid w:val="09966BCD"/>
    <w:rsid w:val="09972599"/>
    <w:rsid w:val="099D065B"/>
    <w:rsid w:val="099D22A1"/>
    <w:rsid w:val="09A545D9"/>
    <w:rsid w:val="09A64698"/>
    <w:rsid w:val="09A9204A"/>
    <w:rsid w:val="09AC5074"/>
    <w:rsid w:val="09AD07F3"/>
    <w:rsid w:val="09B14A34"/>
    <w:rsid w:val="09B2573D"/>
    <w:rsid w:val="09B667D3"/>
    <w:rsid w:val="09B91042"/>
    <w:rsid w:val="09B959E5"/>
    <w:rsid w:val="09BA1421"/>
    <w:rsid w:val="09BA5647"/>
    <w:rsid w:val="09C346F5"/>
    <w:rsid w:val="09C65D3C"/>
    <w:rsid w:val="09CA65A4"/>
    <w:rsid w:val="09CC2A98"/>
    <w:rsid w:val="09CD34C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E361F"/>
    <w:rsid w:val="0A436A63"/>
    <w:rsid w:val="0A446B70"/>
    <w:rsid w:val="0A4758B8"/>
    <w:rsid w:val="0A4B01C2"/>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28F7"/>
    <w:rsid w:val="0A9B6BF5"/>
    <w:rsid w:val="0A9E5B2C"/>
    <w:rsid w:val="0AA00730"/>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B2636"/>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001CE"/>
    <w:rsid w:val="0B460A68"/>
    <w:rsid w:val="0B4746C8"/>
    <w:rsid w:val="0B4D5218"/>
    <w:rsid w:val="0B51337F"/>
    <w:rsid w:val="0B513DBF"/>
    <w:rsid w:val="0B5C18DB"/>
    <w:rsid w:val="0B5C42B3"/>
    <w:rsid w:val="0B5D5C62"/>
    <w:rsid w:val="0B5F215C"/>
    <w:rsid w:val="0B605DE1"/>
    <w:rsid w:val="0B615169"/>
    <w:rsid w:val="0B622E13"/>
    <w:rsid w:val="0B651A68"/>
    <w:rsid w:val="0B671F62"/>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92DF2"/>
    <w:rsid w:val="0BAA0B6D"/>
    <w:rsid w:val="0BB02C8B"/>
    <w:rsid w:val="0BB124BD"/>
    <w:rsid w:val="0BB2460A"/>
    <w:rsid w:val="0BB41A6B"/>
    <w:rsid w:val="0BB41CFB"/>
    <w:rsid w:val="0BB53F3C"/>
    <w:rsid w:val="0BC00376"/>
    <w:rsid w:val="0BC739F0"/>
    <w:rsid w:val="0BD21910"/>
    <w:rsid w:val="0BD44D1D"/>
    <w:rsid w:val="0BD5663D"/>
    <w:rsid w:val="0BDA3782"/>
    <w:rsid w:val="0BDB5584"/>
    <w:rsid w:val="0BE0026A"/>
    <w:rsid w:val="0BE03DAA"/>
    <w:rsid w:val="0BE17727"/>
    <w:rsid w:val="0BEC55E4"/>
    <w:rsid w:val="0BF028A5"/>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03756"/>
    <w:rsid w:val="0C455380"/>
    <w:rsid w:val="0C4801A4"/>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263F"/>
    <w:rsid w:val="0CA1546A"/>
    <w:rsid w:val="0CA4660D"/>
    <w:rsid w:val="0CA46672"/>
    <w:rsid w:val="0CA92BAC"/>
    <w:rsid w:val="0CB02A2E"/>
    <w:rsid w:val="0CB07BBB"/>
    <w:rsid w:val="0CB176C1"/>
    <w:rsid w:val="0CB471A1"/>
    <w:rsid w:val="0CB90F2E"/>
    <w:rsid w:val="0CBB5A0F"/>
    <w:rsid w:val="0CCB3700"/>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8498F"/>
    <w:rsid w:val="0D0A1D55"/>
    <w:rsid w:val="0D0F2DCE"/>
    <w:rsid w:val="0D136EF9"/>
    <w:rsid w:val="0D182A28"/>
    <w:rsid w:val="0D1A52C8"/>
    <w:rsid w:val="0D1C1D16"/>
    <w:rsid w:val="0D21615D"/>
    <w:rsid w:val="0D2454BF"/>
    <w:rsid w:val="0D252BC4"/>
    <w:rsid w:val="0D2767B5"/>
    <w:rsid w:val="0D3E327E"/>
    <w:rsid w:val="0D3E50C9"/>
    <w:rsid w:val="0D404B09"/>
    <w:rsid w:val="0D432A3E"/>
    <w:rsid w:val="0D480AA9"/>
    <w:rsid w:val="0D484685"/>
    <w:rsid w:val="0D4940E8"/>
    <w:rsid w:val="0D4D56D6"/>
    <w:rsid w:val="0D5800C7"/>
    <w:rsid w:val="0D59622F"/>
    <w:rsid w:val="0D5B6E86"/>
    <w:rsid w:val="0D5E28E8"/>
    <w:rsid w:val="0D5F347D"/>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461AA"/>
    <w:rsid w:val="0DB51551"/>
    <w:rsid w:val="0DB73718"/>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26BBF"/>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C42D5"/>
    <w:rsid w:val="0E4D4B22"/>
    <w:rsid w:val="0E5A04BE"/>
    <w:rsid w:val="0E5D717C"/>
    <w:rsid w:val="0E5E2B07"/>
    <w:rsid w:val="0E6A0F47"/>
    <w:rsid w:val="0E6A1721"/>
    <w:rsid w:val="0E7454FD"/>
    <w:rsid w:val="0E752596"/>
    <w:rsid w:val="0E762BA4"/>
    <w:rsid w:val="0E771E51"/>
    <w:rsid w:val="0E796EA0"/>
    <w:rsid w:val="0E7A2A61"/>
    <w:rsid w:val="0E7C0762"/>
    <w:rsid w:val="0E7F3AAA"/>
    <w:rsid w:val="0E8036B3"/>
    <w:rsid w:val="0E8118C0"/>
    <w:rsid w:val="0E8164AD"/>
    <w:rsid w:val="0E894FFB"/>
    <w:rsid w:val="0E9A17E3"/>
    <w:rsid w:val="0EA11114"/>
    <w:rsid w:val="0EA35AC0"/>
    <w:rsid w:val="0EAA30A8"/>
    <w:rsid w:val="0EB11C1A"/>
    <w:rsid w:val="0EB34961"/>
    <w:rsid w:val="0EB9447E"/>
    <w:rsid w:val="0EC11B24"/>
    <w:rsid w:val="0EC172B8"/>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3E3F14"/>
    <w:rsid w:val="0F424B0B"/>
    <w:rsid w:val="0F447297"/>
    <w:rsid w:val="0F455F85"/>
    <w:rsid w:val="0F47212B"/>
    <w:rsid w:val="0F493907"/>
    <w:rsid w:val="0F49564D"/>
    <w:rsid w:val="0F4D1918"/>
    <w:rsid w:val="0F502C70"/>
    <w:rsid w:val="0F5075AE"/>
    <w:rsid w:val="0F521719"/>
    <w:rsid w:val="0F571705"/>
    <w:rsid w:val="0F584757"/>
    <w:rsid w:val="0F5A43B1"/>
    <w:rsid w:val="0F5F48DA"/>
    <w:rsid w:val="0F6A0FB2"/>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7071D"/>
    <w:rsid w:val="0FAD0019"/>
    <w:rsid w:val="0FAD3299"/>
    <w:rsid w:val="0FAD3F5A"/>
    <w:rsid w:val="0FB22A42"/>
    <w:rsid w:val="0FB261C9"/>
    <w:rsid w:val="0FB31343"/>
    <w:rsid w:val="0FB714C3"/>
    <w:rsid w:val="0FBD0C1A"/>
    <w:rsid w:val="0FC12836"/>
    <w:rsid w:val="0FC427AC"/>
    <w:rsid w:val="0FC621C4"/>
    <w:rsid w:val="0FD0665C"/>
    <w:rsid w:val="0FD27C3A"/>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160EB"/>
    <w:rsid w:val="10836F99"/>
    <w:rsid w:val="10860642"/>
    <w:rsid w:val="10886883"/>
    <w:rsid w:val="108A2129"/>
    <w:rsid w:val="10900CC5"/>
    <w:rsid w:val="10924B2D"/>
    <w:rsid w:val="10953B42"/>
    <w:rsid w:val="109755DE"/>
    <w:rsid w:val="10985249"/>
    <w:rsid w:val="10A12DB1"/>
    <w:rsid w:val="10B4235C"/>
    <w:rsid w:val="10B7486E"/>
    <w:rsid w:val="10BD429D"/>
    <w:rsid w:val="10BF747D"/>
    <w:rsid w:val="10C85160"/>
    <w:rsid w:val="10CC5735"/>
    <w:rsid w:val="10D679E0"/>
    <w:rsid w:val="10DA43D7"/>
    <w:rsid w:val="10DF786B"/>
    <w:rsid w:val="10E2101B"/>
    <w:rsid w:val="10E43C3F"/>
    <w:rsid w:val="10E719A1"/>
    <w:rsid w:val="10EC75B1"/>
    <w:rsid w:val="10F33CC1"/>
    <w:rsid w:val="10FA45D2"/>
    <w:rsid w:val="10FD6E37"/>
    <w:rsid w:val="11024527"/>
    <w:rsid w:val="110A4489"/>
    <w:rsid w:val="11150F62"/>
    <w:rsid w:val="11192C45"/>
    <w:rsid w:val="111A28E5"/>
    <w:rsid w:val="111D0087"/>
    <w:rsid w:val="111D46E5"/>
    <w:rsid w:val="111E5679"/>
    <w:rsid w:val="112526B4"/>
    <w:rsid w:val="11280A27"/>
    <w:rsid w:val="112F54D2"/>
    <w:rsid w:val="1133321C"/>
    <w:rsid w:val="113B291C"/>
    <w:rsid w:val="11457D8C"/>
    <w:rsid w:val="11461F96"/>
    <w:rsid w:val="114A2AEE"/>
    <w:rsid w:val="114C3CA8"/>
    <w:rsid w:val="114D3A1D"/>
    <w:rsid w:val="115460D7"/>
    <w:rsid w:val="11562BF2"/>
    <w:rsid w:val="11576536"/>
    <w:rsid w:val="115806FA"/>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7501A"/>
    <w:rsid w:val="11991A6B"/>
    <w:rsid w:val="11996649"/>
    <w:rsid w:val="119C152C"/>
    <w:rsid w:val="119E771A"/>
    <w:rsid w:val="119F6FD9"/>
    <w:rsid w:val="11A030A8"/>
    <w:rsid w:val="11AA61BD"/>
    <w:rsid w:val="11AB222F"/>
    <w:rsid w:val="11AC7561"/>
    <w:rsid w:val="11AE6531"/>
    <w:rsid w:val="11AF439E"/>
    <w:rsid w:val="11B50817"/>
    <w:rsid w:val="11B52CFA"/>
    <w:rsid w:val="11B66269"/>
    <w:rsid w:val="11B85B3D"/>
    <w:rsid w:val="11BA0839"/>
    <w:rsid w:val="11BE25B0"/>
    <w:rsid w:val="11C05F8A"/>
    <w:rsid w:val="11C10E95"/>
    <w:rsid w:val="11C615C5"/>
    <w:rsid w:val="11CA3974"/>
    <w:rsid w:val="11CA68E9"/>
    <w:rsid w:val="11CD6196"/>
    <w:rsid w:val="11CE5360"/>
    <w:rsid w:val="11D96062"/>
    <w:rsid w:val="11DD7754"/>
    <w:rsid w:val="11E4369D"/>
    <w:rsid w:val="11EA6B41"/>
    <w:rsid w:val="11EE4F27"/>
    <w:rsid w:val="11F0307F"/>
    <w:rsid w:val="11F267E8"/>
    <w:rsid w:val="11F427FC"/>
    <w:rsid w:val="11FA2D7A"/>
    <w:rsid w:val="12026F8A"/>
    <w:rsid w:val="120441CC"/>
    <w:rsid w:val="12066C25"/>
    <w:rsid w:val="120C3B45"/>
    <w:rsid w:val="120E21AB"/>
    <w:rsid w:val="12103122"/>
    <w:rsid w:val="1210456D"/>
    <w:rsid w:val="12134828"/>
    <w:rsid w:val="12143598"/>
    <w:rsid w:val="12166EF4"/>
    <w:rsid w:val="121729B6"/>
    <w:rsid w:val="12205406"/>
    <w:rsid w:val="1220610B"/>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4AD7"/>
    <w:rsid w:val="12DD694C"/>
    <w:rsid w:val="12DF0C5E"/>
    <w:rsid w:val="12E302DA"/>
    <w:rsid w:val="12EC215C"/>
    <w:rsid w:val="12EE6AFD"/>
    <w:rsid w:val="12F538D3"/>
    <w:rsid w:val="12F85F0D"/>
    <w:rsid w:val="12F97513"/>
    <w:rsid w:val="12FA6C0E"/>
    <w:rsid w:val="12FB2185"/>
    <w:rsid w:val="12FB7F3D"/>
    <w:rsid w:val="13005DFD"/>
    <w:rsid w:val="13017E6E"/>
    <w:rsid w:val="130611C7"/>
    <w:rsid w:val="1306326A"/>
    <w:rsid w:val="130C7624"/>
    <w:rsid w:val="130D7CA1"/>
    <w:rsid w:val="131046DE"/>
    <w:rsid w:val="1315321C"/>
    <w:rsid w:val="13172F98"/>
    <w:rsid w:val="13180CBE"/>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C11BF"/>
    <w:rsid w:val="135F5E4E"/>
    <w:rsid w:val="13712447"/>
    <w:rsid w:val="1377654A"/>
    <w:rsid w:val="137D1A4D"/>
    <w:rsid w:val="137E3987"/>
    <w:rsid w:val="137F1B10"/>
    <w:rsid w:val="137F4E27"/>
    <w:rsid w:val="1382164E"/>
    <w:rsid w:val="13833EEA"/>
    <w:rsid w:val="13853547"/>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A4F04"/>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31E6D"/>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CF0ADE"/>
    <w:rsid w:val="14D0185B"/>
    <w:rsid w:val="14DC523B"/>
    <w:rsid w:val="14DE753E"/>
    <w:rsid w:val="14E64628"/>
    <w:rsid w:val="14E81AD4"/>
    <w:rsid w:val="14ED47D8"/>
    <w:rsid w:val="14F16663"/>
    <w:rsid w:val="14F37724"/>
    <w:rsid w:val="14F51028"/>
    <w:rsid w:val="14F549EC"/>
    <w:rsid w:val="14F92549"/>
    <w:rsid w:val="14FB4950"/>
    <w:rsid w:val="14FD0138"/>
    <w:rsid w:val="14FD4800"/>
    <w:rsid w:val="14FD4CB2"/>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A2346"/>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8F56E6"/>
    <w:rsid w:val="159332D7"/>
    <w:rsid w:val="15940459"/>
    <w:rsid w:val="159669D6"/>
    <w:rsid w:val="159859F4"/>
    <w:rsid w:val="159E329B"/>
    <w:rsid w:val="15A52574"/>
    <w:rsid w:val="15A80FDC"/>
    <w:rsid w:val="15AA7A19"/>
    <w:rsid w:val="15AC5259"/>
    <w:rsid w:val="15AE02B1"/>
    <w:rsid w:val="15AE46FA"/>
    <w:rsid w:val="15AE5475"/>
    <w:rsid w:val="15B06B12"/>
    <w:rsid w:val="15B21729"/>
    <w:rsid w:val="15B30B8E"/>
    <w:rsid w:val="15B75136"/>
    <w:rsid w:val="15B87DAF"/>
    <w:rsid w:val="15BE3D9D"/>
    <w:rsid w:val="15C02C76"/>
    <w:rsid w:val="15C22DC5"/>
    <w:rsid w:val="15C4476E"/>
    <w:rsid w:val="15C61DCD"/>
    <w:rsid w:val="15D4474D"/>
    <w:rsid w:val="15D7597F"/>
    <w:rsid w:val="15E32BB5"/>
    <w:rsid w:val="15E35542"/>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42646"/>
    <w:rsid w:val="1695742C"/>
    <w:rsid w:val="169D1595"/>
    <w:rsid w:val="169E2FAE"/>
    <w:rsid w:val="169F49C0"/>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A2883"/>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3F0C07"/>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97951"/>
    <w:rsid w:val="17AA5FE0"/>
    <w:rsid w:val="17B274A5"/>
    <w:rsid w:val="17B6063D"/>
    <w:rsid w:val="17B74C8C"/>
    <w:rsid w:val="17B83B56"/>
    <w:rsid w:val="17B87C8B"/>
    <w:rsid w:val="17B92DFC"/>
    <w:rsid w:val="17BA1E1D"/>
    <w:rsid w:val="17BA48D6"/>
    <w:rsid w:val="17BC33B5"/>
    <w:rsid w:val="17C0378A"/>
    <w:rsid w:val="17C535A1"/>
    <w:rsid w:val="17CA313C"/>
    <w:rsid w:val="17CA481C"/>
    <w:rsid w:val="17CC1D1C"/>
    <w:rsid w:val="17CD5EE0"/>
    <w:rsid w:val="17D336D0"/>
    <w:rsid w:val="17D363F7"/>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E53A1"/>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447AF"/>
    <w:rsid w:val="187640ED"/>
    <w:rsid w:val="18804AA7"/>
    <w:rsid w:val="18850ACD"/>
    <w:rsid w:val="188C347D"/>
    <w:rsid w:val="188C4F53"/>
    <w:rsid w:val="188C538D"/>
    <w:rsid w:val="18A16B9A"/>
    <w:rsid w:val="18A5427C"/>
    <w:rsid w:val="18A66F56"/>
    <w:rsid w:val="18A94FC3"/>
    <w:rsid w:val="18AB1905"/>
    <w:rsid w:val="18AB2FAA"/>
    <w:rsid w:val="18AC724D"/>
    <w:rsid w:val="18AF5199"/>
    <w:rsid w:val="18AF7C5B"/>
    <w:rsid w:val="18B417E1"/>
    <w:rsid w:val="18B61C67"/>
    <w:rsid w:val="18C0323C"/>
    <w:rsid w:val="18C9246D"/>
    <w:rsid w:val="18C96881"/>
    <w:rsid w:val="18CC589D"/>
    <w:rsid w:val="18CC75E7"/>
    <w:rsid w:val="18CF7D05"/>
    <w:rsid w:val="18D979C0"/>
    <w:rsid w:val="18DE1E44"/>
    <w:rsid w:val="18DE5861"/>
    <w:rsid w:val="18DF497D"/>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B2C0A"/>
    <w:rsid w:val="194B43FA"/>
    <w:rsid w:val="194C1059"/>
    <w:rsid w:val="194C176F"/>
    <w:rsid w:val="19500DD6"/>
    <w:rsid w:val="19521210"/>
    <w:rsid w:val="19537076"/>
    <w:rsid w:val="195621A4"/>
    <w:rsid w:val="19564B19"/>
    <w:rsid w:val="19570331"/>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9D0EA7"/>
    <w:rsid w:val="19A16661"/>
    <w:rsid w:val="19A33264"/>
    <w:rsid w:val="19A7296F"/>
    <w:rsid w:val="19AF232D"/>
    <w:rsid w:val="19B94DE5"/>
    <w:rsid w:val="19BB7983"/>
    <w:rsid w:val="19CA4702"/>
    <w:rsid w:val="19D01D27"/>
    <w:rsid w:val="19D10D95"/>
    <w:rsid w:val="19D76F77"/>
    <w:rsid w:val="19D77386"/>
    <w:rsid w:val="19DC3901"/>
    <w:rsid w:val="19DE7440"/>
    <w:rsid w:val="19E33778"/>
    <w:rsid w:val="19E45BB3"/>
    <w:rsid w:val="19ED386F"/>
    <w:rsid w:val="19F90091"/>
    <w:rsid w:val="19F91F18"/>
    <w:rsid w:val="19FF1298"/>
    <w:rsid w:val="1A03072C"/>
    <w:rsid w:val="1A045B87"/>
    <w:rsid w:val="1A0870CE"/>
    <w:rsid w:val="1A1F1382"/>
    <w:rsid w:val="1A203F61"/>
    <w:rsid w:val="1A210157"/>
    <w:rsid w:val="1A2364A1"/>
    <w:rsid w:val="1A2C794C"/>
    <w:rsid w:val="1A312F8F"/>
    <w:rsid w:val="1A365F00"/>
    <w:rsid w:val="1A402130"/>
    <w:rsid w:val="1A484A02"/>
    <w:rsid w:val="1A4D1CE1"/>
    <w:rsid w:val="1A4E78B6"/>
    <w:rsid w:val="1A521E89"/>
    <w:rsid w:val="1A542FA2"/>
    <w:rsid w:val="1A5571F4"/>
    <w:rsid w:val="1A5760FC"/>
    <w:rsid w:val="1A5945FD"/>
    <w:rsid w:val="1A5B0C0F"/>
    <w:rsid w:val="1A5F0B2B"/>
    <w:rsid w:val="1A5F2F04"/>
    <w:rsid w:val="1A5F7253"/>
    <w:rsid w:val="1A620757"/>
    <w:rsid w:val="1A6624A9"/>
    <w:rsid w:val="1A6A0EEA"/>
    <w:rsid w:val="1A6B64C2"/>
    <w:rsid w:val="1A6D22C8"/>
    <w:rsid w:val="1A6E6393"/>
    <w:rsid w:val="1A6F5AC3"/>
    <w:rsid w:val="1A725418"/>
    <w:rsid w:val="1A774BBE"/>
    <w:rsid w:val="1A79037D"/>
    <w:rsid w:val="1A7A2EF9"/>
    <w:rsid w:val="1A7C1CC2"/>
    <w:rsid w:val="1A7E4215"/>
    <w:rsid w:val="1A7F4EDC"/>
    <w:rsid w:val="1A813E2C"/>
    <w:rsid w:val="1A84670E"/>
    <w:rsid w:val="1A8506F7"/>
    <w:rsid w:val="1A862267"/>
    <w:rsid w:val="1A89437E"/>
    <w:rsid w:val="1A8F2FDB"/>
    <w:rsid w:val="1A960E81"/>
    <w:rsid w:val="1A972C69"/>
    <w:rsid w:val="1A98650B"/>
    <w:rsid w:val="1A996FC3"/>
    <w:rsid w:val="1A9A0C93"/>
    <w:rsid w:val="1A9A12C1"/>
    <w:rsid w:val="1AAB7A25"/>
    <w:rsid w:val="1AB02AE4"/>
    <w:rsid w:val="1AB359A1"/>
    <w:rsid w:val="1AB42A19"/>
    <w:rsid w:val="1AB6035E"/>
    <w:rsid w:val="1ABD31B9"/>
    <w:rsid w:val="1ABF3A95"/>
    <w:rsid w:val="1AC20F7A"/>
    <w:rsid w:val="1AC91D4C"/>
    <w:rsid w:val="1ACD2E18"/>
    <w:rsid w:val="1ACE2A77"/>
    <w:rsid w:val="1ACE6E77"/>
    <w:rsid w:val="1ACE6F1E"/>
    <w:rsid w:val="1AD03069"/>
    <w:rsid w:val="1AD55B02"/>
    <w:rsid w:val="1AD71252"/>
    <w:rsid w:val="1AD972F0"/>
    <w:rsid w:val="1ADA0E77"/>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91F56"/>
    <w:rsid w:val="1B7A6C9A"/>
    <w:rsid w:val="1B7D07F3"/>
    <w:rsid w:val="1B826E63"/>
    <w:rsid w:val="1B831B2B"/>
    <w:rsid w:val="1B853A57"/>
    <w:rsid w:val="1B9219EE"/>
    <w:rsid w:val="1B9307F8"/>
    <w:rsid w:val="1B944685"/>
    <w:rsid w:val="1B945678"/>
    <w:rsid w:val="1B951DCE"/>
    <w:rsid w:val="1B9B3AD0"/>
    <w:rsid w:val="1B9D7F18"/>
    <w:rsid w:val="1BA258AE"/>
    <w:rsid w:val="1BA57F07"/>
    <w:rsid w:val="1BAA3905"/>
    <w:rsid w:val="1BAE60D9"/>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51528"/>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550D1"/>
    <w:rsid w:val="1D3E3364"/>
    <w:rsid w:val="1D41310E"/>
    <w:rsid w:val="1D457CE9"/>
    <w:rsid w:val="1D4969F4"/>
    <w:rsid w:val="1D4C117F"/>
    <w:rsid w:val="1D513E68"/>
    <w:rsid w:val="1D54121E"/>
    <w:rsid w:val="1D553E39"/>
    <w:rsid w:val="1D561B4E"/>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D12460"/>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3E2F64"/>
    <w:rsid w:val="1E4013D0"/>
    <w:rsid w:val="1E4160E0"/>
    <w:rsid w:val="1E5144D2"/>
    <w:rsid w:val="1E5800FB"/>
    <w:rsid w:val="1E5E7A6C"/>
    <w:rsid w:val="1E623922"/>
    <w:rsid w:val="1E6703B7"/>
    <w:rsid w:val="1E680B85"/>
    <w:rsid w:val="1E6B2336"/>
    <w:rsid w:val="1E712925"/>
    <w:rsid w:val="1E7845CD"/>
    <w:rsid w:val="1E8028A0"/>
    <w:rsid w:val="1E8261B5"/>
    <w:rsid w:val="1E8B032D"/>
    <w:rsid w:val="1E8B7AD0"/>
    <w:rsid w:val="1E8D5200"/>
    <w:rsid w:val="1E8E3E30"/>
    <w:rsid w:val="1E9B0CC0"/>
    <w:rsid w:val="1E9D2018"/>
    <w:rsid w:val="1E9D35F0"/>
    <w:rsid w:val="1E9D4737"/>
    <w:rsid w:val="1E9D55A8"/>
    <w:rsid w:val="1EA11D29"/>
    <w:rsid w:val="1EA13E87"/>
    <w:rsid w:val="1EA53D75"/>
    <w:rsid w:val="1EA73541"/>
    <w:rsid w:val="1EAF4E87"/>
    <w:rsid w:val="1EB00660"/>
    <w:rsid w:val="1EB4235B"/>
    <w:rsid w:val="1EB50D64"/>
    <w:rsid w:val="1EB774F1"/>
    <w:rsid w:val="1EBA43DC"/>
    <w:rsid w:val="1EBB42B0"/>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552C9"/>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220A3"/>
    <w:rsid w:val="1F5324C1"/>
    <w:rsid w:val="1F561E2A"/>
    <w:rsid w:val="1F596CDF"/>
    <w:rsid w:val="1F5E088A"/>
    <w:rsid w:val="1F5F1E2B"/>
    <w:rsid w:val="1F645272"/>
    <w:rsid w:val="1F661994"/>
    <w:rsid w:val="1F666BD8"/>
    <w:rsid w:val="1F672A0E"/>
    <w:rsid w:val="1F6833F6"/>
    <w:rsid w:val="1F68659A"/>
    <w:rsid w:val="1F7756A5"/>
    <w:rsid w:val="1F7959F4"/>
    <w:rsid w:val="1F7C19E4"/>
    <w:rsid w:val="1F83562C"/>
    <w:rsid w:val="1F88428B"/>
    <w:rsid w:val="1F8A5F10"/>
    <w:rsid w:val="1F947917"/>
    <w:rsid w:val="1F952318"/>
    <w:rsid w:val="1F9F7E3B"/>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468DA"/>
    <w:rsid w:val="1FF82D26"/>
    <w:rsid w:val="2000119F"/>
    <w:rsid w:val="20007200"/>
    <w:rsid w:val="20023827"/>
    <w:rsid w:val="200308CB"/>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5491A"/>
    <w:rsid w:val="205A627C"/>
    <w:rsid w:val="206301A7"/>
    <w:rsid w:val="20642E89"/>
    <w:rsid w:val="2067334B"/>
    <w:rsid w:val="206D3F96"/>
    <w:rsid w:val="206D7380"/>
    <w:rsid w:val="206F7CD5"/>
    <w:rsid w:val="2070080A"/>
    <w:rsid w:val="20711CD8"/>
    <w:rsid w:val="207778B9"/>
    <w:rsid w:val="207A2037"/>
    <w:rsid w:val="207E34E5"/>
    <w:rsid w:val="20850EC1"/>
    <w:rsid w:val="208C6AE1"/>
    <w:rsid w:val="20911227"/>
    <w:rsid w:val="20934FE0"/>
    <w:rsid w:val="209511C3"/>
    <w:rsid w:val="209A17A4"/>
    <w:rsid w:val="209B0B03"/>
    <w:rsid w:val="209D76E0"/>
    <w:rsid w:val="209E715A"/>
    <w:rsid w:val="20A70ABE"/>
    <w:rsid w:val="20AC38F6"/>
    <w:rsid w:val="20B45212"/>
    <w:rsid w:val="20B836F9"/>
    <w:rsid w:val="20BD741D"/>
    <w:rsid w:val="20BF422E"/>
    <w:rsid w:val="20C10077"/>
    <w:rsid w:val="20C261C8"/>
    <w:rsid w:val="20C37A68"/>
    <w:rsid w:val="20C96FD1"/>
    <w:rsid w:val="20CC2666"/>
    <w:rsid w:val="20CE4C2F"/>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67DF"/>
    <w:rsid w:val="211C7EF8"/>
    <w:rsid w:val="21201AED"/>
    <w:rsid w:val="2123166E"/>
    <w:rsid w:val="21252CA9"/>
    <w:rsid w:val="21286565"/>
    <w:rsid w:val="212F6A59"/>
    <w:rsid w:val="213020AE"/>
    <w:rsid w:val="21306305"/>
    <w:rsid w:val="213170F5"/>
    <w:rsid w:val="21330562"/>
    <w:rsid w:val="21335DA6"/>
    <w:rsid w:val="21361B20"/>
    <w:rsid w:val="213B1801"/>
    <w:rsid w:val="213D54AD"/>
    <w:rsid w:val="214169BB"/>
    <w:rsid w:val="2144141D"/>
    <w:rsid w:val="21481E61"/>
    <w:rsid w:val="214B1974"/>
    <w:rsid w:val="214F4863"/>
    <w:rsid w:val="21504A40"/>
    <w:rsid w:val="21527879"/>
    <w:rsid w:val="215F7E39"/>
    <w:rsid w:val="2163647D"/>
    <w:rsid w:val="216C54DE"/>
    <w:rsid w:val="216E4095"/>
    <w:rsid w:val="217106CC"/>
    <w:rsid w:val="21714AD1"/>
    <w:rsid w:val="21741E6D"/>
    <w:rsid w:val="217C7971"/>
    <w:rsid w:val="217D44BC"/>
    <w:rsid w:val="21840F69"/>
    <w:rsid w:val="218F61F1"/>
    <w:rsid w:val="21936BCB"/>
    <w:rsid w:val="21952780"/>
    <w:rsid w:val="219619F8"/>
    <w:rsid w:val="219842E4"/>
    <w:rsid w:val="21997056"/>
    <w:rsid w:val="219B2AEE"/>
    <w:rsid w:val="219D2362"/>
    <w:rsid w:val="219D3F2A"/>
    <w:rsid w:val="21AA5245"/>
    <w:rsid w:val="21AB4F6A"/>
    <w:rsid w:val="21AB77F7"/>
    <w:rsid w:val="21AC4ECC"/>
    <w:rsid w:val="21AD30AE"/>
    <w:rsid w:val="21B50781"/>
    <w:rsid w:val="21B87C47"/>
    <w:rsid w:val="21BF03BC"/>
    <w:rsid w:val="21BF4458"/>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3773"/>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B610D"/>
    <w:rsid w:val="230C7A96"/>
    <w:rsid w:val="230D1610"/>
    <w:rsid w:val="23143B37"/>
    <w:rsid w:val="231544D3"/>
    <w:rsid w:val="2315496B"/>
    <w:rsid w:val="231637F9"/>
    <w:rsid w:val="231A014A"/>
    <w:rsid w:val="231C2B3E"/>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4021E"/>
    <w:rsid w:val="23561E6B"/>
    <w:rsid w:val="23566DDF"/>
    <w:rsid w:val="23572E7E"/>
    <w:rsid w:val="235924CA"/>
    <w:rsid w:val="23592D87"/>
    <w:rsid w:val="235F162F"/>
    <w:rsid w:val="236478D2"/>
    <w:rsid w:val="23673863"/>
    <w:rsid w:val="236A053E"/>
    <w:rsid w:val="236D4F13"/>
    <w:rsid w:val="23752F81"/>
    <w:rsid w:val="2378262C"/>
    <w:rsid w:val="237B7D6C"/>
    <w:rsid w:val="238015EC"/>
    <w:rsid w:val="23837B67"/>
    <w:rsid w:val="23857493"/>
    <w:rsid w:val="238755B6"/>
    <w:rsid w:val="23885214"/>
    <w:rsid w:val="238944BF"/>
    <w:rsid w:val="238B65DE"/>
    <w:rsid w:val="238C73AC"/>
    <w:rsid w:val="238D0169"/>
    <w:rsid w:val="2390760E"/>
    <w:rsid w:val="239130F2"/>
    <w:rsid w:val="239B728F"/>
    <w:rsid w:val="239D405B"/>
    <w:rsid w:val="23A06D34"/>
    <w:rsid w:val="23A06FB8"/>
    <w:rsid w:val="23AE1527"/>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EF1892"/>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25A79"/>
    <w:rsid w:val="24D51CDF"/>
    <w:rsid w:val="24E57853"/>
    <w:rsid w:val="24E77BE6"/>
    <w:rsid w:val="24F17428"/>
    <w:rsid w:val="24F24750"/>
    <w:rsid w:val="24F80270"/>
    <w:rsid w:val="250253B9"/>
    <w:rsid w:val="250C5C6A"/>
    <w:rsid w:val="25165BAC"/>
    <w:rsid w:val="2517098B"/>
    <w:rsid w:val="25176627"/>
    <w:rsid w:val="251E0656"/>
    <w:rsid w:val="252053F9"/>
    <w:rsid w:val="2522013D"/>
    <w:rsid w:val="25223279"/>
    <w:rsid w:val="252401CC"/>
    <w:rsid w:val="25241F90"/>
    <w:rsid w:val="25280B69"/>
    <w:rsid w:val="25280CBE"/>
    <w:rsid w:val="252A120C"/>
    <w:rsid w:val="252A4786"/>
    <w:rsid w:val="25304AD5"/>
    <w:rsid w:val="25327207"/>
    <w:rsid w:val="25395126"/>
    <w:rsid w:val="25413DB0"/>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BE6FE6"/>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6ACC"/>
    <w:rsid w:val="25F67042"/>
    <w:rsid w:val="260054CC"/>
    <w:rsid w:val="26071C55"/>
    <w:rsid w:val="260A55DA"/>
    <w:rsid w:val="260B255C"/>
    <w:rsid w:val="260C579B"/>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A3AF4"/>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52AFC"/>
    <w:rsid w:val="26B9766D"/>
    <w:rsid w:val="26BA59F2"/>
    <w:rsid w:val="26BD1ECD"/>
    <w:rsid w:val="26C36DE5"/>
    <w:rsid w:val="26C9404D"/>
    <w:rsid w:val="26CD53A8"/>
    <w:rsid w:val="26D323BB"/>
    <w:rsid w:val="26D45590"/>
    <w:rsid w:val="26DB67F4"/>
    <w:rsid w:val="26DE02E5"/>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0D202F"/>
    <w:rsid w:val="27125B0D"/>
    <w:rsid w:val="27130E1A"/>
    <w:rsid w:val="271A3CFE"/>
    <w:rsid w:val="271B44C4"/>
    <w:rsid w:val="27222699"/>
    <w:rsid w:val="27240467"/>
    <w:rsid w:val="27262E16"/>
    <w:rsid w:val="272A3F42"/>
    <w:rsid w:val="273216D6"/>
    <w:rsid w:val="273666A6"/>
    <w:rsid w:val="273D1CBA"/>
    <w:rsid w:val="27462901"/>
    <w:rsid w:val="27465BE7"/>
    <w:rsid w:val="274730E2"/>
    <w:rsid w:val="2749419F"/>
    <w:rsid w:val="274A7B1A"/>
    <w:rsid w:val="2750726F"/>
    <w:rsid w:val="27541A0C"/>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8782B"/>
    <w:rsid w:val="27AB0938"/>
    <w:rsid w:val="27B02558"/>
    <w:rsid w:val="27B027C6"/>
    <w:rsid w:val="27B03EC1"/>
    <w:rsid w:val="27B91021"/>
    <w:rsid w:val="27BA3133"/>
    <w:rsid w:val="27C06D17"/>
    <w:rsid w:val="27C66099"/>
    <w:rsid w:val="27CA7CDA"/>
    <w:rsid w:val="27DA0163"/>
    <w:rsid w:val="27DF1D24"/>
    <w:rsid w:val="27E30D7E"/>
    <w:rsid w:val="27E43C95"/>
    <w:rsid w:val="27F20EFC"/>
    <w:rsid w:val="27FB11A8"/>
    <w:rsid w:val="27FE4240"/>
    <w:rsid w:val="27FE6547"/>
    <w:rsid w:val="27FF2D7D"/>
    <w:rsid w:val="280008FF"/>
    <w:rsid w:val="28050D91"/>
    <w:rsid w:val="280821E0"/>
    <w:rsid w:val="280A73A7"/>
    <w:rsid w:val="280B0292"/>
    <w:rsid w:val="281035C6"/>
    <w:rsid w:val="281126EE"/>
    <w:rsid w:val="28140E2A"/>
    <w:rsid w:val="2824417F"/>
    <w:rsid w:val="28255041"/>
    <w:rsid w:val="282B09BF"/>
    <w:rsid w:val="282B1213"/>
    <w:rsid w:val="2835725E"/>
    <w:rsid w:val="283832F0"/>
    <w:rsid w:val="283A1E3E"/>
    <w:rsid w:val="283C2DAC"/>
    <w:rsid w:val="283F0B9A"/>
    <w:rsid w:val="284543A1"/>
    <w:rsid w:val="28455B9B"/>
    <w:rsid w:val="284B1061"/>
    <w:rsid w:val="28506F1C"/>
    <w:rsid w:val="285465E8"/>
    <w:rsid w:val="28553E1D"/>
    <w:rsid w:val="2859475D"/>
    <w:rsid w:val="285C4CC5"/>
    <w:rsid w:val="285E09C3"/>
    <w:rsid w:val="285E5D04"/>
    <w:rsid w:val="2866568E"/>
    <w:rsid w:val="28693318"/>
    <w:rsid w:val="286B3B61"/>
    <w:rsid w:val="286B52E0"/>
    <w:rsid w:val="286B6D4C"/>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8774D"/>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83C1C"/>
    <w:rsid w:val="293955A6"/>
    <w:rsid w:val="293966D9"/>
    <w:rsid w:val="293D1DB5"/>
    <w:rsid w:val="29425246"/>
    <w:rsid w:val="2946144E"/>
    <w:rsid w:val="2946760C"/>
    <w:rsid w:val="29485EB7"/>
    <w:rsid w:val="29487D92"/>
    <w:rsid w:val="294A5BC8"/>
    <w:rsid w:val="29504176"/>
    <w:rsid w:val="29504B36"/>
    <w:rsid w:val="29512FCE"/>
    <w:rsid w:val="29567307"/>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73B7A"/>
    <w:rsid w:val="2A9A66D4"/>
    <w:rsid w:val="2A9E2BAB"/>
    <w:rsid w:val="2AA1007B"/>
    <w:rsid w:val="2AA12DD3"/>
    <w:rsid w:val="2AAA29AB"/>
    <w:rsid w:val="2AAA4B39"/>
    <w:rsid w:val="2AAB1744"/>
    <w:rsid w:val="2AAC36BD"/>
    <w:rsid w:val="2AB04937"/>
    <w:rsid w:val="2AB1542B"/>
    <w:rsid w:val="2AB22C1B"/>
    <w:rsid w:val="2AB31FAB"/>
    <w:rsid w:val="2AB86677"/>
    <w:rsid w:val="2ABA266F"/>
    <w:rsid w:val="2ABC2E55"/>
    <w:rsid w:val="2AC90132"/>
    <w:rsid w:val="2ACF5AEC"/>
    <w:rsid w:val="2AD62AB0"/>
    <w:rsid w:val="2ADC0696"/>
    <w:rsid w:val="2ADC1447"/>
    <w:rsid w:val="2ADE1583"/>
    <w:rsid w:val="2AE62171"/>
    <w:rsid w:val="2AE70523"/>
    <w:rsid w:val="2AF12CDF"/>
    <w:rsid w:val="2AF27DCB"/>
    <w:rsid w:val="2AF92B4F"/>
    <w:rsid w:val="2AFC24E6"/>
    <w:rsid w:val="2B01621D"/>
    <w:rsid w:val="2B0726A6"/>
    <w:rsid w:val="2B090320"/>
    <w:rsid w:val="2B0C6B23"/>
    <w:rsid w:val="2B147E30"/>
    <w:rsid w:val="2B19210F"/>
    <w:rsid w:val="2B1D6F4B"/>
    <w:rsid w:val="2B2628D4"/>
    <w:rsid w:val="2B280EB7"/>
    <w:rsid w:val="2B2B5653"/>
    <w:rsid w:val="2B2D1363"/>
    <w:rsid w:val="2B306C2A"/>
    <w:rsid w:val="2B335E16"/>
    <w:rsid w:val="2B33613E"/>
    <w:rsid w:val="2B3429F1"/>
    <w:rsid w:val="2B3A1DF7"/>
    <w:rsid w:val="2B3B71ED"/>
    <w:rsid w:val="2B42025A"/>
    <w:rsid w:val="2B450516"/>
    <w:rsid w:val="2B4526E2"/>
    <w:rsid w:val="2B4722C4"/>
    <w:rsid w:val="2B484627"/>
    <w:rsid w:val="2B4F4A14"/>
    <w:rsid w:val="2B4F4C94"/>
    <w:rsid w:val="2B504399"/>
    <w:rsid w:val="2B505F9D"/>
    <w:rsid w:val="2B592A46"/>
    <w:rsid w:val="2B5A76DB"/>
    <w:rsid w:val="2B5B7165"/>
    <w:rsid w:val="2B611B55"/>
    <w:rsid w:val="2B662258"/>
    <w:rsid w:val="2B686C09"/>
    <w:rsid w:val="2B776DFA"/>
    <w:rsid w:val="2B795BD8"/>
    <w:rsid w:val="2B7E07EF"/>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31074"/>
    <w:rsid w:val="2BC873B9"/>
    <w:rsid w:val="2BC941AF"/>
    <w:rsid w:val="2BCC24B9"/>
    <w:rsid w:val="2BD01C8D"/>
    <w:rsid w:val="2BDC02CD"/>
    <w:rsid w:val="2BDF4442"/>
    <w:rsid w:val="2BE571D6"/>
    <w:rsid w:val="2BE64A3E"/>
    <w:rsid w:val="2BEC4F7F"/>
    <w:rsid w:val="2BF00C4E"/>
    <w:rsid w:val="2BF01DD3"/>
    <w:rsid w:val="2BF04945"/>
    <w:rsid w:val="2BF428FD"/>
    <w:rsid w:val="2BF51B27"/>
    <w:rsid w:val="2BF52156"/>
    <w:rsid w:val="2BF70C79"/>
    <w:rsid w:val="2BF835D8"/>
    <w:rsid w:val="2C005788"/>
    <w:rsid w:val="2C0478DE"/>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0496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9C1B52"/>
    <w:rsid w:val="2CA0462E"/>
    <w:rsid w:val="2CA3146B"/>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70891"/>
    <w:rsid w:val="2D2F2EE4"/>
    <w:rsid w:val="2D306B85"/>
    <w:rsid w:val="2D313196"/>
    <w:rsid w:val="2D323D75"/>
    <w:rsid w:val="2D3F06B2"/>
    <w:rsid w:val="2D400A9F"/>
    <w:rsid w:val="2D4C02C1"/>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4F00"/>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51C1D"/>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6F5C7D"/>
    <w:rsid w:val="2E705752"/>
    <w:rsid w:val="2E736411"/>
    <w:rsid w:val="2E7622E7"/>
    <w:rsid w:val="2E791B9C"/>
    <w:rsid w:val="2E7A5E34"/>
    <w:rsid w:val="2E7B51F7"/>
    <w:rsid w:val="2E7B65BB"/>
    <w:rsid w:val="2E812666"/>
    <w:rsid w:val="2E835E5F"/>
    <w:rsid w:val="2E855C37"/>
    <w:rsid w:val="2E8810D4"/>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0EA8"/>
    <w:rsid w:val="2EEB4275"/>
    <w:rsid w:val="2EEF6737"/>
    <w:rsid w:val="2EF276DC"/>
    <w:rsid w:val="2EF53C20"/>
    <w:rsid w:val="2EFC5DDD"/>
    <w:rsid w:val="2F002CCF"/>
    <w:rsid w:val="2F0159FC"/>
    <w:rsid w:val="2F0160A3"/>
    <w:rsid w:val="2F06074C"/>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4C55"/>
    <w:rsid w:val="2F8E5F5C"/>
    <w:rsid w:val="2F921FAC"/>
    <w:rsid w:val="2FA12C61"/>
    <w:rsid w:val="2FA21231"/>
    <w:rsid w:val="2FAD4759"/>
    <w:rsid w:val="2FAD5866"/>
    <w:rsid w:val="2FAE1EFC"/>
    <w:rsid w:val="2FAF7B4B"/>
    <w:rsid w:val="2FB4059E"/>
    <w:rsid w:val="2FB41FC6"/>
    <w:rsid w:val="2FB46FC7"/>
    <w:rsid w:val="2FB91323"/>
    <w:rsid w:val="2FBA2E31"/>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65D56"/>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1D07"/>
    <w:rsid w:val="3090288F"/>
    <w:rsid w:val="309645C5"/>
    <w:rsid w:val="309B0CFB"/>
    <w:rsid w:val="309B2EEC"/>
    <w:rsid w:val="309E4272"/>
    <w:rsid w:val="30A41DB4"/>
    <w:rsid w:val="30A67485"/>
    <w:rsid w:val="30A71AE3"/>
    <w:rsid w:val="30AE56DC"/>
    <w:rsid w:val="30B7307E"/>
    <w:rsid w:val="30BB5407"/>
    <w:rsid w:val="30BF034E"/>
    <w:rsid w:val="30C21A0E"/>
    <w:rsid w:val="30D10F27"/>
    <w:rsid w:val="30D43132"/>
    <w:rsid w:val="30DC45E8"/>
    <w:rsid w:val="30DD6027"/>
    <w:rsid w:val="30DE16AB"/>
    <w:rsid w:val="30E1221A"/>
    <w:rsid w:val="30E734EF"/>
    <w:rsid w:val="30F24AB3"/>
    <w:rsid w:val="30F44A95"/>
    <w:rsid w:val="30F77A98"/>
    <w:rsid w:val="30FA21D8"/>
    <w:rsid w:val="30FC2A23"/>
    <w:rsid w:val="310B520B"/>
    <w:rsid w:val="31154308"/>
    <w:rsid w:val="31184364"/>
    <w:rsid w:val="31197ABC"/>
    <w:rsid w:val="311A0F9C"/>
    <w:rsid w:val="311D5B14"/>
    <w:rsid w:val="31271357"/>
    <w:rsid w:val="312723F9"/>
    <w:rsid w:val="312D0545"/>
    <w:rsid w:val="312D1F98"/>
    <w:rsid w:val="3136546A"/>
    <w:rsid w:val="313A7B85"/>
    <w:rsid w:val="313E22A6"/>
    <w:rsid w:val="31412F85"/>
    <w:rsid w:val="31454E97"/>
    <w:rsid w:val="314A019C"/>
    <w:rsid w:val="314C1564"/>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42AB8"/>
    <w:rsid w:val="31F52FE4"/>
    <w:rsid w:val="31F536F7"/>
    <w:rsid w:val="31FA3C94"/>
    <w:rsid w:val="31FA7AEE"/>
    <w:rsid w:val="31FB60C5"/>
    <w:rsid w:val="32005D96"/>
    <w:rsid w:val="32021A78"/>
    <w:rsid w:val="3209100C"/>
    <w:rsid w:val="321E250B"/>
    <w:rsid w:val="32204DF4"/>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21DB"/>
    <w:rsid w:val="3272101B"/>
    <w:rsid w:val="32722131"/>
    <w:rsid w:val="327A3DD6"/>
    <w:rsid w:val="327E6AD8"/>
    <w:rsid w:val="32821B23"/>
    <w:rsid w:val="328301EA"/>
    <w:rsid w:val="32864FED"/>
    <w:rsid w:val="32887C84"/>
    <w:rsid w:val="32926F1E"/>
    <w:rsid w:val="32946A84"/>
    <w:rsid w:val="329747D6"/>
    <w:rsid w:val="3298755C"/>
    <w:rsid w:val="329B3044"/>
    <w:rsid w:val="329E6B24"/>
    <w:rsid w:val="32A77A89"/>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2FE7F69"/>
    <w:rsid w:val="330066D7"/>
    <w:rsid w:val="330244A4"/>
    <w:rsid w:val="3304026E"/>
    <w:rsid w:val="33066388"/>
    <w:rsid w:val="330F1E44"/>
    <w:rsid w:val="331747E7"/>
    <w:rsid w:val="331B37C6"/>
    <w:rsid w:val="331C390F"/>
    <w:rsid w:val="33222F7E"/>
    <w:rsid w:val="333073BF"/>
    <w:rsid w:val="333A0536"/>
    <w:rsid w:val="333A6DD7"/>
    <w:rsid w:val="333C18FE"/>
    <w:rsid w:val="333E0FE1"/>
    <w:rsid w:val="333F4C47"/>
    <w:rsid w:val="333F6941"/>
    <w:rsid w:val="33444CAD"/>
    <w:rsid w:val="334D7767"/>
    <w:rsid w:val="33541EC6"/>
    <w:rsid w:val="33572F13"/>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AD0A8D"/>
    <w:rsid w:val="33B52233"/>
    <w:rsid w:val="33B70359"/>
    <w:rsid w:val="33BA1B32"/>
    <w:rsid w:val="33BE01F6"/>
    <w:rsid w:val="33BF02F5"/>
    <w:rsid w:val="33BF7141"/>
    <w:rsid w:val="33CB205A"/>
    <w:rsid w:val="33D31CFB"/>
    <w:rsid w:val="33D451B9"/>
    <w:rsid w:val="33E20DF0"/>
    <w:rsid w:val="33E570DD"/>
    <w:rsid w:val="33EA5517"/>
    <w:rsid w:val="33EE5E44"/>
    <w:rsid w:val="33F425AD"/>
    <w:rsid w:val="33F509C2"/>
    <w:rsid w:val="33F81D16"/>
    <w:rsid w:val="33FA2099"/>
    <w:rsid w:val="33FC464A"/>
    <w:rsid w:val="33FE4E44"/>
    <w:rsid w:val="34004C51"/>
    <w:rsid w:val="34026A40"/>
    <w:rsid w:val="34041CE3"/>
    <w:rsid w:val="3406172B"/>
    <w:rsid w:val="34087429"/>
    <w:rsid w:val="340B5F03"/>
    <w:rsid w:val="3411600B"/>
    <w:rsid w:val="341315B5"/>
    <w:rsid w:val="34147AA7"/>
    <w:rsid w:val="34151CC9"/>
    <w:rsid w:val="34165481"/>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D6A46"/>
    <w:rsid w:val="347F540F"/>
    <w:rsid w:val="34842DE4"/>
    <w:rsid w:val="34863322"/>
    <w:rsid w:val="34885DB3"/>
    <w:rsid w:val="348D6EF2"/>
    <w:rsid w:val="348F0ED3"/>
    <w:rsid w:val="348F7A0E"/>
    <w:rsid w:val="3491064E"/>
    <w:rsid w:val="34916002"/>
    <w:rsid w:val="34975090"/>
    <w:rsid w:val="349A0B7D"/>
    <w:rsid w:val="349F0E6A"/>
    <w:rsid w:val="34A42817"/>
    <w:rsid w:val="34A851E8"/>
    <w:rsid w:val="34A92857"/>
    <w:rsid w:val="34A94ADA"/>
    <w:rsid w:val="34A97BFE"/>
    <w:rsid w:val="34B51A96"/>
    <w:rsid w:val="34BF1CD4"/>
    <w:rsid w:val="34C77B77"/>
    <w:rsid w:val="34C800BD"/>
    <w:rsid w:val="34C936CD"/>
    <w:rsid w:val="34CC1DC7"/>
    <w:rsid w:val="34CE1050"/>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A4BFA"/>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03C2E"/>
    <w:rsid w:val="35744059"/>
    <w:rsid w:val="35747E4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12FB"/>
    <w:rsid w:val="35DE7FD8"/>
    <w:rsid w:val="35DF5973"/>
    <w:rsid w:val="35E425DA"/>
    <w:rsid w:val="35E46823"/>
    <w:rsid w:val="35EA6509"/>
    <w:rsid w:val="35ED04DC"/>
    <w:rsid w:val="35F44E5C"/>
    <w:rsid w:val="35F45994"/>
    <w:rsid w:val="35F8217F"/>
    <w:rsid w:val="35FB592D"/>
    <w:rsid w:val="35FF2535"/>
    <w:rsid w:val="3602050E"/>
    <w:rsid w:val="360348C0"/>
    <w:rsid w:val="36077B5A"/>
    <w:rsid w:val="36095627"/>
    <w:rsid w:val="360B5B09"/>
    <w:rsid w:val="36101A49"/>
    <w:rsid w:val="3614357F"/>
    <w:rsid w:val="36163688"/>
    <w:rsid w:val="361A2F27"/>
    <w:rsid w:val="361B6516"/>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6D77D0"/>
    <w:rsid w:val="36701C31"/>
    <w:rsid w:val="36720A4C"/>
    <w:rsid w:val="367210E9"/>
    <w:rsid w:val="36752210"/>
    <w:rsid w:val="36776A4B"/>
    <w:rsid w:val="3681695C"/>
    <w:rsid w:val="36820E97"/>
    <w:rsid w:val="36851BE2"/>
    <w:rsid w:val="36884498"/>
    <w:rsid w:val="368F0563"/>
    <w:rsid w:val="36922B55"/>
    <w:rsid w:val="369260AD"/>
    <w:rsid w:val="36991125"/>
    <w:rsid w:val="369C60C5"/>
    <w:rsid w:val="369C6A15"/>
    <w:rsid w:val="369E44B4"/>
    <w:rsid w:val="36A312B2"/>
    <w:rsid w:val="36A35C4C"/>
    <w:rsid w:val="36A44DDD"/>
    <w:rsid w:val="36A5021A"/>
    <w:rsid w:val="36A9265A"/>
    <w:rsid w:val="36A9393B"/>
    <w:rsid w:val="36AA239C"/>
    <w:rsid w:val="36AC3612"/>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E508D2"/>
    <w:rsid w:val="36F03F0E"/>
    <w:rsid w:val="36F414F3"/>
    <w:rsid w:val="36F75FB1"/>
    <w:rsid w:val="36F8799C"/>
    <w:rsid w:val="36F902E0"/>
    <w:rsid w:val="36FE2DE5"/>
    <w:rsid w:val="36FE3F92"/>
    <w:rsid w:val="37002C93"/>
    <w:rsid w:val="370149ED"/>
    <w:rsid w:val="37021B28"/>
    <w:rsid w:val="37027535"/>
    <w:rsid w:val="370757D3"/>
    <w:rsid w:val="37086DBC"/>
    <w:rsid w:val="370974B4"/>
    <w:rsid w:val="370D0F30"/>
    <w:rsid w:val="37123663"/>
    <w:rsid w:val="37126487"/>
    <w:rsid w:val="371A5A8E"/>
    <w:rsid w:val="371B03AE"/>
    <w:rsid w:val="371E6151"/>
    <w:rsid w:val="371F5B92"/>
    <w:rsid w:val="37200042"/>
    <w:rsid w:val="37235104"/>
    <w:rsid w:val="37271A7B"/>
    <w:rsid w:val="37277663"/>
    <w:rsid w:val="372A07F2"/>
    <w:rsid w:val="372B36CF"/>
    <w:rsid w:val="37342518"/>
    <w:rsid w:val="37357964"/>
    <w:rsid w:val="373757CA"/>
    <w:rsid w:val="373835C6"/>
    <w:rsid w:val="373A5120"/>
    <w:rsid w:val="373B5161"/>
    <w:rsid w:val="373D6F58"/>
    <w:rsid w:val="37446333"/>
    <w:rsid w:val="37446A77"/>
    <w:rsid w:val="37476F7B"/>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54B9C"/>
    <w:rsid w:val="37BA6351"/>
    <w:rsid w:val="37BF1123"/>
    <w:rsid w:val="37C0226A"/>
    <w:rsid w:val="37C265EA"/>
    <w:rsid w:val="37C73F5D"/>
    <w:rsid w:val="37C93B72"/>
    <w:rsid w:val="37CC231E"/>
    <w:rsid w:val="37CC50A4"/>
    <w:rsid w:val="37D644F2"/>
    <w:rsid w:val="37E22653"/>
    <w:rsid w:val="37E61084"/>
    <w:rsid w:val="37ED5E3A"/>
    <w:rsid w:val="37EF1B98"/>
    <w:rsid w:val="37F311D3"/>
    <w:rsid w:val="37F436DD"/>
    <w:rsid w:val="37F7242F"/>
    <w:rsid w:val="37F95722"/>
    <w:rsid w:val="37FD1EC6"/>
    <w:rsid w:val="380579FE"/>
    <w:rsid w:val="380A2EB4"/>
    <w:rsid w:val="38157509"/>
    <w:rsid w:val="38194CC2"/>
    <w:rsid w:val="381D5340"/>
    <w:rsid w:val="381F0910"/>
    <w:rsid w:val="382150C9"/>
    <w:rsid w:val="382372FE"/>
    <w:rsid w:val="38284CDE"/>
    <w:rsid w:val="38290CA5"/>
    <w:rsid w:val="382D014D"/>
    <w:rsid w:val="382D297A"/>
    <w:rsid w:val="382F19E6"/>
    <w:rsid w:val="38336594"/>
    <w:rsid w:val="383A22BF"/>
    <w:rsid w:val="383B0AED"/>
    <w:rsid w:val="383B2EED"/>
    <w:rsid w:val="38463F5F"/>
    <w:rsid w:val="384C2D57"/>
    <w:rsid w:val="38557E21"/>
    <w:rsid w:val="3856501D"/>
    <w:rsid w:val="38590DD6"/>
    <w:rsid w:val="385B52F0"/>
    <w:rsid w:val="385F47DB"/>
    <w:rsid w:val="386777DB"/>
    <w:rsid w:val="38693A96"/>
    <w:rsid w:val="386A1921"/>
    <w:rsid w:val="386B38FB"/>
    <w:rsid w:val="38747711"/>
    <w:rsid w:val="38775820"/>
    <w:rsid w:val="38777FB4"/>
    <w:rsid w:val="387E1A82"/>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767D5"/>
    <w:rsid w:val="392B6A4C"/>
    <w:rsid w:val="393232FB"/>
    <w:rsid w:val="393544DD"/>
    <w:rsid w:val="39355B41"/>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343E9"/>
    <w:rsid w:val="39885108"/>
    <w:rsid w:val="398A2308"/>
    <w:rsid w:val="39907940"/>
    <w:rsid w:val="39920E09"/>
    <w:rsid w:val="39940FDD"/>
    <w:rsid w:val="399602F5"/>
    <w:rsid w:val="399B5B0D"/>
    <w:rsid w:val="39A05979"/>
    <w:rsid w:val="39A471AE"/>
    <w:rsid w:val="39A90F14"/>
    <w:rsid w:val="39AB5689"/>
    <w:rsid w:val="39B747A8"/>
    <w:rsid w:val="39BB78F7"/>
    <w:rsid w:val="39BC428E"/>
    <w:rsid w:val="39BF2BB7"/>
    <w:rsid w:val="39C46549"/>
    <w:rsid w:val="39CA1A60"/>
    <w:rsid w:val="39CB0253"/>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1C460B"/>
    <w:rsid w:val="3A237175"/>
    <w:rsid w:val="3A264A9F"/>
    <w:rsid w:val="3A2B2AA6"/>
    <w:rsid w:val="3A2C4E83"/>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0AA5"/>
    <w:rsid w:val="3AA576FB"/>
    <w:rsid w:val="3AA607A4"/>
    <w:rsid w:val="3AA90278"/>
    <w:rsid w:val="3AA97F70"/>
    <w:rsid w:val="3AAC45FD"/>
    <w:rsid w:val="3AB2580E"/>
    <w:rsid w:val="3AB26A14"/>
    <w:rsid w:val="3AB91255"/>
    <w:rsid w:val="3AB94248"/>
    <w:rsid w:val="3ABE6A92"/>
    <w:rsid w:val="3ABE76C3"/>
    <w:rsid w:val="3ABE7ADC"/>
    <w:rsid w:val="3ABF42F5"/>
    <w:rsid w:val="3ACE18D2"/>
    <w:rsid w:val="3ACE7D16"/>
    <w:rsid w:val="3AD068AC"/>
    <w:rsid w:val="3AD56DB6"/>
    <w:rsid w:val="3AD73D23"/>
    <w:rsid w:val="3AD77B8A"/>
    <w:rsid w:val="3AE6488C"/>
    <w:rsid w:val="3AE72EC4"/>
    <w:rsid w:val="3AEE596A"/>
    <w:rsid w:val="3AF053C9"/>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54309"/>
    <w:rsid w:val="3B86470F"/>
    <w:rsid w:val="3B873119"/>
    <w:rsid w:val="3B892174"/>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41C1C"/>
    <w:rsid w:val="3BFA10FC"/>
    <w:rsid w:val="3C032713"/>
    <w:rsid w:val="3C042946"/>
    <w:rsid w:val="3C070D59"/>
    <w:rsid w:val="3C071F68"/>
    <w:rsid w:val="3C074961"/>
    <w:rsid w:val="3C0B6499"/>
    <w:rsid w:val="3C0E09BE"/>
    <w:rsid w:val="3C0F1954"/>
    <w:rsid w:val="3C0F347A"/>
    <w:rsid w:val="3C104621"/>
    <w:rsid w:val="3C1071B6"/>
    <w:rsid w:val="3C132CD6"/>
    <w:rsid w:val="3C1A48A7"/>
    <w:rsid w:val="3C1B14F3"/>
    <w:rsid w:val="3C1D7D10"/>
    <w:rsid w:val="3C1E1E84"/>
    <w:rsid w:val="3C1E391D"/>
    <w:rsid w:val="3C21000D"/>
    <w:rsid w:val="3C237821"/>
    <w:rsid w:val="3C294498"/>
    <w:rsid w:val="3C2A1C6F"/>
    <w:rsid w:val="3C2C15A2"/>
    <w:rsid w:val="3C2D5003"/>
    <w:rsid w:val="3C310A10"/>
    <w:rsid w:val="3C333216"/>
    <w:rsid w:val="3C36018F"/>
    <w:rsid w:val="3C3A7F01"/>
    <w:rsid w:val="3C3B0B4B"/>
    <w:rsid w:val="3C3D016E"/>
    <w:rsid w:val="3C4864AA"/>
    <w:rsid w:val="3C49796D"/>
    <w:rsid w:val="3C4F7D80"/>
    <w:rsid w:val="3C5475AD"/>
    <w:rsid w:val="3C591787"/>
    <w:rsid w:val="3C64689F"/>
    <w:rsid w:val="3C6E7D4D"/>
    <w:rsid w:val="3C6E7F09"/>
    <w:rsid w:val="3C740DAA"/>
    <w:rsid w:val="3C750E34"/>
    <w:rsid w:val="3C782A27"/>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B251D"/>
    <w:rsid w:val="3CCC4D4D"/>
    <w:rsid w:val="3CCD7DE2"/>
    <w:rsid w:val="3CCE0448"/>
    <w:rsid w:val="3CD71E34"/>
    <w:rsid w:val="3CD93A3D"/>
    <w:rsid w:val="3CDB5D82"/>
    <w:rsid w:val="3CDC7FCF"/>
    <w:rsid w:val="3CDE394C"/>
    <w:rsid w:val="3CE01A27"/>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959BD"/>
    <w:rsid w:val="3D2A76C4"/>
    <w:rsid w:val="3D2C61BC"/>
    <w:rsid w:val="3D2C725B"/>
    <w:rsid w:val="3D2F4437"/>
    <w:rsid w:val="3D3662C4"/>
    <w:rsid w:val="3D3D229D"/>
    <w:rsid w:val="3D3E068A"/>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A6551"/>
    <w:rsid w:val="3DBB6C89"/>
    <w:rsid w:val="3DBC3878"/>
    <w:rsid w:val="3DBD74D6"/>
    <w:rsid w:val="3DC31F76"/>
    <w:rsid w:val="3DCD6921"/>
    <w:rsid w:val="3DD67156"/>
    <w:rsid w:val="3DD745F2"/>
    <w:rsid w:val="3DD81385"/>
    <w:rsid w:val="3DE04FCE"/>
    <w:rsid w:val="3DE26B28"/>
    <w:rsid w:val="3DE37514"/>
    <w:rsid w:val="3DE548AC"/>
    <w:rsid w:val="3DE653F8"/>
    <w:rsid w:val="3DE72673"/>
    <w:rsid w:val="3DE9510A"/>
    <w:rsid w:val="3DEB1255"/>
    <w:rsid w:val="3DEE1FBE"/>
    <w:rsid w:val="3DEE62E8"/>
    <w:rsid w:val="3DF22A3D"/>
    <w:rsid w:val="3DF94D6E"/>
    <w:rsid w:val="3E0448CB"/>
    <w:rsid w:val="3E073B6A"/>
    <w:rsid w:val="3E074DC9"/>
    <w:rsid w:val="3E0918A5"/>
    <w:rsid w:val="3E0F25EA"/>
    <w:rsid w:val="3E146F59"/>
    <w:rsid w:val="3E197897"/>
    <w:rsid w:val="3E1B303F"/>
    <w:rsid w:val="3E220E05"/>
    <w:rsid w:val="3E22755F"/>
    <w:rsid w:val="3E237BCC"/>
    <w:rsid w:val="3E255AC9"/>
    <w:rsid w:val="3E2C6DE7"/>
    <w:rsid w:val="3E2D5ACD"/>
    <w:rsid w:val="3E3419DC"/>
    <w:rsid w:val="3E376233"/>
    <w:rsid w:val="3E3C5F3C"/>
    <w:rsid w:val="3E3E306A"/>
    <w:rsid w:val="3E3F2CA0"/>
    <w:rsid w:val="3E410D79"/>
    <w:rsid w:val="3E454B0D"/>
    <w:rsid w:val="3E463CA5"/>
    <w:rsid w:val="3E4B2DC3"/>
    <w:rsid w:val="3E535A69"/>
    <w:rsid w:val="3E583BB7"/>
    <w:rsid w:val="3E5A1D01"/>
    <w:rsid w:val="3E5B12DC"/>
    <w:rsid w:val="3E623E46"/>
    <w:rsid w:val="3E63159D"/>
    <w:rsid w:val="3E667FB0"/>
    <w:rsid w:val="3E680BF1"/>
    <w:rsid w:val="3E694D5B"/>
    <w:rsid w:val="3E6953E3"/>
    <w:rsid w:val="3E744A86"/>
    <w:rsid w:val="3E780453"/>
    <w:rsid w:val="3E7A1C88"/>
    <w:rsid w:val="3E836D6C"/>
    <w:rsid w:val="3E837966"/>
    <w:rsid w:val="3E844725"/>
    <w:rsid w:val="3E8B095A"/>
    <w:rsid w:val="3E8C69B2"/>
    <w:rsid w:val="3E8D0487"/>
    <w:rsid w:val="3E8D66A1"/>
    <w:rsid w:val="3E8E6C82"/>
    <w:rsid w:val="3E942719"/>
    <w:rsid w:val="3E943FDD"/>
    <w:rsid w:val="3E95645F"/>
    <w:rsid w:val="3E9A19C5"/>
    <w:rsid w:val="3E9A2ABD"/>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1B487C"/>
    <w:rsid w:val="3F206E95"/>
    <w:rsid w:val="3F217DDA"/>
    <w:rsid w:val="3F2B184D"/>
    <w:rsid w:val="3F2C36BA"/>
    <w:rsid w:val="3F2C7646"/>
    <w:rsid w:val="3F2D4B86"/>
    <w:rsid w:val="3F2D6433"/>
    <w:rsid w:val="3F2F01F0"/>
    <w:rsid w:val="3F300CFA"/>
    <w:rsid w:val="3F3C6744"/>
    <w:rsid w:val="3F3D66CD"/>
    <w:rsid w:val="3F3F72BD"/>
    <w:rsid w:val="3F421D47"/>
    <w:rsid w:val="3F441B08"/>
    <w:rsid w:val="3F4A4087"/>
    <w:rsid w:val="3F5361F5"/>
    <w:rsid w:val="3F555F0F"/>
    <w:rsid w:val="3F556D23"/>
    <w:rsid w:val="3F5A4F9D"/>
    <w:rsid w:val="3F5C54AA"/>
    <w:rsid w:val="3F6251B6"/>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37078"/>
    <w:rsid w:val="3FCF604C"/>
    <w:rsid w:val="3FD210AC"/>
    <w:rsid w:val="3FD53CFE"/>
    <w:rsid w:val="3FD9316A"/>
    <w:rsid w:val="3FDC3952"/>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74204"/>
    <w:rsid w:val="411C3143"/>
    <w:rsid w:val="411C75E7"/>
    <w:rsid w:val="411E6FB6"/>
    <w:rsid w:val="411F4460"/>
    <w:rsid w:val="41216875"/>
    <w:rsid w:val="412506DF"/>
    <w:rsid w:val="412D52A9"/>
    <w:rsid w:val="41320BD6"/>
    <w:rsid w:val="413314B6"/>
    <w:rsid w:val="41360F5F"/>
    <w:rsid w:val="413815BA"/>
    <w:rsid w:val="413B1BAB"/>
    <w:rsid w:val="41434504"/>
    <w:rsid w:val="41444892"/>
    <w:rsid w:val="41463854"/>
    <w:rsid w:val="4149456B"/>
    <w:rsid w:val="414F41D7"/>
    <w:rsid w:val="414F7876"/>
    <w:rsid w:val="41515CEC"/>
    <w:rsid w:val="41546D5F"/>
    <w:rsid w:val="41574A42"/>
    <w:rsid w:val="41583B8B"/>
    <w:rsid w:val="415A0FEF"/>
    <w:rsid w:val="415A6EFE"/>
    <w:rsid w:val="415E680C"/>
    <w:rsid w:val="41602ED0"/>
    <w:rsid w:val="41604437"/>
    <w:rsid w:val="416279BA"/>
    <w:rsid w:val="41653B51"/>
    <w:rsid w:val="416655C0"/>
    <w:rsid w:val="41687777"/>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75102"/>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DD74E9"/>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37038"/>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15178"/>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00A85"/>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56721"/>
    <w:rsid w:val="434660C5"/>
    <w:rsid w:val="43496F4C"/>
    <w:rsid w:val="434B44DC"/>
    <w:rsid w:val="434D13F6"/>
    <w:rsid w:val="43605DCC"/>
    <w:rsid w:val="436139FB"/>
    <w:rsid w:val="43614CEE"/>
    <w:rsid w:val="4362104C"/>
    <w:rsid w:val="43621947"/>
    <w:rsid w:val="4363090C"/>
    <w:rsid w:val="43637C71"/>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17716"/>
    <w:rsid w:val="43B329A6"/>
    <w:rsid w:val="43B92ECB"/>
    <w:rsid w:val="43C0281C"/>
    <w:rsid w:val="43C02B26"/>
    <w:rsid w:val="43C22ABD"/>
    <w:rsid w:val="43C91C5B"/>
    <w:rsid w:val="43D10A40"/>
    <w:rsid w:val="43D30F21"/>
    <w:rsid w:val="43D67A91"/>
    <w:rsid w:val="43DC5A1D"/>
    <w:rsid w:val="43E21F58"/>
    <w:rsid w:val="43E3106F"/>
    <w:rsid w:val="43E35EF0"/>
    <w:rsid w:val="43F71BCF"/>
    <w:rsid w:val="43F76F69"/>
    <w:rsid w:val="43F90FED"/>
    <w:rsid w:val="43F9776B"/>
    <w:rsid w:val="43FC0DB2"/>
    <w:rsid w:val="43FC24CA"/>
    <w:rsid w:val="44051440"/>
    <w:rsid w:val="44095B4D"/>
    <w:rsid w:val="440C5D56"/>
    <w:rsid w:val="4411464B"/>
    <w:rsid w:val="441208E8"/>
    <w:rsid w:val="44153F0C"/>
    <w:rsid w:val="44163D42"/>
    <w:rsid w:val="44174583"/>
    <w:rsid w:val="441A5200"/>
    <w:rsid w:val="441C4432"/>
    <w:rsid w:val="441D506D"/>
    <w:rsid w:val="441E6109"/>
    <w:rsid w:val="44226CC2"/>
    <w:rsid w:val="44243821"/>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7D50E6"/>
    <w:rsid w:val="44825790"/>
    <w:rsid w:val="44831414"/>
    <w:rsid w:val="44861189"/>
    <w:rsid w:val="44891513"/>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24001"/>
    <w:rsid w:val="44C43057"/>
    <w:rsid w:val="44C46F12"/>
    <w:rsid w:val="44C816C4"/>
    <w:rsid w:val="44C87C0F"/>
    <w:rsid w:val="44C932D0"/>
    <w:rsid w:val="44CB4FB3"/>
    <w:rsid w:val="44D31B1E"/>
    <w:rsid w:val="44D33718"/>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56FB2"/>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54A22"/>
    <w:rsid w:val="45D9022E"/>
    <w:rsid w:val="45DE30BD"/>
    <w:rsid w:val="45E3021B"/>
    <w:rsid w:val="45E37678"/>
    <w:rsid w:val="45E526A6"/>
    <w:rsid w:val="45E56E31"/>
    <w:rsid w:val="45E66893"/>
    <w:rsid w:val="45E826B2"/>
    <w:rsid w:val="45EA380F"/>
    <w:rsid w:val="45F4334C"/>
    <w:rsid w:val="460D2F84"/>
    <w:rsid w:val="460D3781"/>
    <w:rsid w:val="461309F1"/>
    <w:rsid w:val="461B7F64"/>
    <w:rsid w:val="461F36FD"/>
    <w:rsid w:val="4627444E"/>
    <w:rsid w:val="462D4B2D"/>
    <w:rsid w:val="462E4FF5"/>
    <w:rsid w:val="46365246"/>
    <w:rsid w:val="46397422"/>
    <w:rsid w:val="463C41CD"/>
    <w:rsid w:val="463E1C6A"/>
    <w:rsid w:val="46453E63"/>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D4684"/>
    <w:rsid w:val="467E1A24"/>
    <w:rsid w:val="46866306"/>
    <w:rsid w:val="468A27AC"/>
    <w:rsid w:val="468E6888"/>
    <w:rsid w:val="46914620"/>
    <w:rsid w:val="46933EA7"/>
    <w:rsid w:val="46963469"/>
    <w:rsid w:val="46964671"/>
    <w:rsid w:val="46981A1E"/>
    <w:rsid w:val="46987D2F"/>
    <w:rsid w:val="46995896"/>
    <w:rsid w:val="469C5C39"/>
    <w:rsid w:val="469D5DE8"/>
    <w:rsid w:val="46A35C12"/>
    <w:rsid w:val="46A55B0E"/>
    <w:rsid w:val="46A82992"/>
    <w:rsid w:val="46A96CEF"/>
    <w:rsid w:val="46AA501B"/>
    <w:rsid w:val="46AD7A54"/>
    <w:rsid w:val="46B134DD"/>
    <w:rsid w:val="46B419BE"/>
    <w:rsid w:val="46B640D3"/>
    <w:rsid w:val="46B66C70"/>
    <w:rsid w:val="46CD1F17"/>
    <w:rsid w:val="46D126E3"/>
    <w:rsid w:val="46D67289"/>
    <w:rsid w:val="46DB64CD"/>
    <w:rsid w:val="46DD1D17"/>
    <w:rsid w:val="46E1018C"/>
    <w:rsid w:val="46E20226"/>
    <w:rsid w:val="46E462A3"/>
    <w:rsid w:val="46E53AB0"/>
    <w:rsid w:val="46EE5C1E"/>
    <w:rsid w:val="46F117D1"/>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225734"/>
    <w:rsid w:val="4724002A"/>
    <w:rsid w:val="47333B1B"/>
    <w:rsid w:val="47351654"/>
    <w:rsid w:val="4736350E"/>
    <w:rsid w:val="4739631A"/>
    <w:rsid w:val="473D0BD8"/>
    <w:rsid w:val="47457188"/>
    <w:rsid w:val="474A7769"/>
    <w:rsid w:val="474E50D5"/>
    <w:rsid w:val="474F3AFA"/>
    <w:rsid w:val="47502F2C"/>
    <w:rsid w:val="47505EC1"/>
    <w:rsid w:val="47557BAF"/>
    <w:rsid w:val="47561DDC"/>
    <w:rsid w:val="47592D4E"/>
    <w:rsid w:val="47644CFB"/>
    <w:rsid w:val="47666951"/>
    <w:rsid w:val="47677CBF"/>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64D90"/>
    <w:rsid w:val="481728B6"/>
    <w:rsid w:val="481E5F8D"/>
    <w:rsid w:val="48204877"/>
    <w:rsid w:val="482B39B5"/>
    <w:rsid w:val="482C0F74"/>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B4BF3"/>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95C04"/>
    <w:rsid w:val="48AF255D"/>
    <w:rsid w:val="48B16C29"/>
    <w:rsid w:val="48B305F1"/>
    <w:rsid w:val="48B44D6B"/>
    <w:rsid w:val="48B470F8"/>
    <w:rsid w:val="48B75AB4"/>
    <w:rsid w:val="48C15721"/>
    <w:rsid w:val="48C17F25"/>
    <w:rsid w:val="48C3444A"/>
    <w:rsid w:val="48C34E74"/>
    <w:rsid w:val="48C43EFA"/>
    <w:rsid w:val="48C538B2"/>
    <w:rsid w:val="48C70477"/>
    <w:rsid w:val="48C72E35"/>
    <w:rsid w:val="48C82BD7"/>
    <w:rsid w:val="48C9414A"/>
    <w:rsid w:val="48CB0DA2"/>
    <w:rsid w:val="48D25798"/>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9523D"/>
    <w:rsid w:val="493A0176"/>
    <w:rsid w:val="49432B91"/>
    <w:rsid w:val="494502AA"/>
    <w:rsid w:val="494A5505"/>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31B5D"/>
    <w:rsid w:val="49A43EE6"/>
    <w:rsid w:val="49A44C44"/>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672C9"/>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46D25"/>
    <w:rsid w:val="4AC66331"/>
    <w:rsid w:val="4AC860DD"/>
    <w:rsid w:val="4AD162A8"/>
    <w:rsid w:val="4AD25C89"/>
    <w:rsid w:val="4AD574D1"/>
    <w:rsid w:val="4AD768C6"/>
    <w:rsid w:val="4AE0796F"/>
    <w:rsid w:val="4AE30444"/>
    <w:rsid w:val="4AE31B85"/>
    <w:rsid w:val="4AEA2918"/>
    <w:rsid w:val="4AEF0F11"/>
    <w:rsid w:val="4AF902F5"/>
    <w:rsid w:val="4AF94D42"/>
    <w:rsid w:val="4AFE3C4A"/>
    <w:rsid w:val="4B0107DC"/>
    <w:rsid w:val="4B020D4E"/>
    <w:rsid w:val="4B021266"/>
    <w:rsid w:val="4B050969"/>
    <w:rsid w:val="4B081F1A"/>
    <w:rsid w:val="4B08619A"/>
    <w:rsid w:val="4B0A119A"/>
    <w:rsid w:val="4B0D6C0E"/>
    <w:rsid w:val="4B11183E"/>
    <w:rsid w:val="4B183767"/>
    <w:rsid w:val="4B1C66E8"/>
    <w:rsid w:val="4B1E3170"/>
    <w:rsid w:val="4B205D7D"/>
    <w:rsid w:val="4B2730E7"/>
    <w:rsid w:val="4B28587C"/>
    <w:rsid w:val="4B292683"/>
    <w:rsid w:val="4B294C7C"/>
    <w:rsid w:val="4B304EAD"/>
    <w:rsid w:val="4B334AEF"/>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E7B32"/>
    <w:rsid w:val="4B5F62DD"/>
    <w:rsid w:val="4B632C97"/>
    <w:rsid w:val="4B68369B"/>
    <w:rsid w:val="4B683C6A"/>
    <w:rsid w:val="4B6D2294"/>
    <w:rsid w:val="4B705844"/>
    <w:rsid w:val="4B7224D0"/>
    <w:rsid w:val="4B731C20"/>
    <w:rsid w:val="4B774607"/>
    <w:rsid w:val="4B7A3C96"/>
    <w:rsid w:val="4B7D4F5D"/>
    <w:rsid w:val="4B82716C"/>
    <w:rsid w:val="4B857EC6"/>
    <w:rsid w:val="4B8829C1"/>
    <w:rsid w:val="4B8A2918"/>
    <w:rsid w:val="4B8D0A42"/>
    <w:rsid w:val="4B901807"/>
    <w:rsid w:val="4B92038C"/>
    <w:rsid w:val="4B9A20D1"/>
    <w:rsid w:val="4B9B25E4"/>
    <w:rsid w:val="4B9E314D"/>
    <w:rsid w:val="4BAD4CA2"/>
    <w:rsid w:val="4BB42604"/>
    <w:rsid w:val="4BB548C0"/>
    <w:rsid w:val="4BB5799E"/>
    <w:rsid w:val="4BC1732F"/>
    <w:rsid w:val="4BC456EF"/>
    <w:rsid w:val="4BC647B0"/>
    <w:rsid w:val="4BCB1BAE"/>
    <w:rsid w:val="4BD94F2A"/>
    <w:rsid w:val="4BDC6EEC"/>
    <w:rsid w:val="4BDF4B49"/>
    <w:rsid w:val="4BE43BF5"/>
    <w:rsid w:val="4BE57E16"/>
    <w:rsid w:val="4BE819D0"/>
    <w:rsid w:val="4BE8649D"/>
    <w:rsid w:val="4BEB08D2"/>
    <w:rsid w:val="4BEE6FFD"/>
    <w:rsid w:val="4BF90150"/>
    <w:rsid w:val="4BFC6FFD"/>
    <w:rsid w:val="4C001A94"/>
    <w:rsid w:val="4C0107B1"/>
    <w:rsid w:val="4C0236B4"/>
    <w:rsid w:val="4C030CF6"/>
    <w:rsid w:val="4C074866"/>
    <w:rsid w:val="4C0C091F"/>
    <w:rsid w:val="4C0E6780"/>
    <w:rsid w:val="4C1321BA"/>
    <w:rsid w:val="4C145CE0"/>
    <w:rsid w:val="4C16297D"/>
    <w:rsid w:val="4C170C9D"/>
    <w:rsid w:val="4C186D56"/>
    <w:rsid w:val="4C192F75"/>
    <w:rsid w:val="4C1B04F8"/>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BF657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A652E"/>
    <w:rsid w:val="4D1D6CA0"/>
    <w:rsid w:val="4D226519"/>
    <w:rsid w:val="4D2609C6"/>
    <w:rsid w:val="4D2778AC"/>
    <w:rsid w:val="4D2A2C09"/>
    <w:rsid w:val="4D2B0AE8"/>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4F42"/>
    <w:rsid w:val="4D705706"/>
    <w:rsid w:val="4D7220A0"/>
    <w:rsid w:val="4D722EC4"/>
    <w:rsid w:val="4D76173E"/>
    <w:rsid w:val="4D795468"/>
    <w:rsid w:val="4D877542"/>
    <w:rsid w:val="4D8814DC"/>
    <w:rsid w:val="4D8A58C0"/>
    <w:rsid w:val="4D8B58D8"/>
    <w:rsid w:val="4D8C494F"/>
    <w:rsid w:val="4D8D11C1"/>
    <w:rsid w:val="4D922BF5"/>
    <w:rsid w:val="4D93445E"/>
    <w:rsid w:val="4D9A5B1B"/>
    <w:rsid w:val="4D9B5A29"/>
    <w:rsid w:val="4DA53BC8"/>
    <w:rsid w:val="4DA72415"/>
    <w:rsid w:val="4DA95570"/>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DFF4545"/>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60EA8"/>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02972"/>
    <w:rsid w:val="4EA24CF2"/>
    <w:rsid w:val="4EA9172F"/>
    <w:rsid w:val="4EAC241A"/>
    <w:rsid w:val="4EAE1632"/>
    <w:rsid w:val="4EB2113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4E60"/>
    <w:rsid w:val="4F36758C"/>
    <w:rsid w:val="4F376D93"/>
    <w:rsid w:val="4F3957DF"/>
    <w:rsid w:val="4F3D4163"/>
    <w:rsid w:val="4F4E7DA7"/>
    <w:rsid w:val="4F50208E"/>
    <w:rsid w:val="4F560A53"/>
    <w:rsid w:val="4F5704A1"/>
    <w:rsid w:val="4F611147"/>
    <w:rsid w:val="4F637BB8"/>
    <w:rsid w:val="4F642884"/>
    <w:rsid w:val="4F64562E"/>
    <w:rsid w:val="4F6D5F69"/>
    <w:rsid w:val="4F6E6F86"/>
    <w:rsid w:val="4F6F2EAF"/>
    <w:rsid w:val="4F7278C6"/>
    <w:rsid w:val="4F764CC2"/>
    <w:rsid w:val="4F7E1BFB"/>
    <w:rsid w:val="4F823D55"/>
    <w:rsid w:val="4F85034E"/>
    <w:rsid w:val="4F9000F4"/>
    <w:rsid w:val="4F983E33"/>
    <w:rsid w:val="4F9A0268"/>
    <w:rsid w:val="4F9B5328"/>
    <w:rsid w:val="4F9B61D7"/>
    <w:rsid w:val="4FAB2D3A"/>
    <w:rsid w:val="4FAB3627"/>
    <w:rsid w:val="4FAB7893"/>
    <w:rsid w:val="4FAC6A89"/>
    <w:rsid w:val="4FAD747B"/>
    <w:rsid w:val="4FB204D9"/>
    <w:rsid w:val="4FB40C2C"/>
    <w:rsid w:val="4FB52A34"/>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8707D"/>
    <w:rsid w:val="505F1426"/>
    <w:rsid w:val="506309DB"/>
    <w:rsid w:val="50752AF6"/>
    <w:rsid w:val="50771C00"/>
    <w:rsid w:val="507D06D8"/>
    <w:rsid w:val="508027D4"/>
    <w:rsid w:val="50837E99"/>
    <w:rsid w:val="508A668E"/>
    <w:rsid w:val="509A3231"/>
    <w:rsid w:val="509C736A"/>
    <w:rsid w:val="50A2159F"/>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33EC0"/>
    <w:rsid w:val="50F568D9"/>
    <w:rsid w:val="50FD2A03"/>
    <w:rsid w:val="510D4A1E"/>
    <w:rsid w:val="51172209"/>
    <w:rsid w:val="51184E6D"/>
    <w:rsid w:val="51187610"/>
    <w:rsid w:val="51196F82"/>
    <w:rsid w:val="511C491F"/>
    <w:rsid w:val="51234937"/>
    <w:rsid w:val="512B350B"/>
    <w:rsid w:val="513571BD"/>
    <w:rsid w:val="51375EB3"/>
    <w:rsid w:val="513853CC"/>
    <w:rsid w:val="51387E2B"/>
    <w:rsid w:val="51392D77"/>
    <w:rsid w:val="513D483E"/>
    <w:rsid w:val="513E09A4"/>
    <w:rsid w:val="513F081D"/>
    <w:rsid w:val="51447510"/>
    <w:rsid w:val="514C1E16"/>
    <w:rsid w:val="514F0A29"/>
    <w:rsid w:val="5153259C"/>
    <w:rsid w:val="515361F4"/>
    <w:rsid w:val="515529BB"/>
    <w:rsid w:val="515A64E3"/>
    <w:rsid w:val="515C30A6"/>
    <w:rsid w:val="5161698E"/>
    <w:rsid w:val="5163574F"/>
    <w:rsid w:val="51651617"/>
    <w:rsid w:val="5179450A"/>
    <w:rsid w:val="51797588"/>
    <w:rsid w:val="517A638F"/>
    <w:rsid w:val="517C0CA0"/>
    <w:rsid w:val="517D17DB"/>
    <w:rsid w:val="517F00BC"/>
    <w:rsid w:val="51823496"/>
    <w:rsid w:val="51861BC2"/>
    <w:rsid w:val="5188076F"/>
    <w:rsid w:val="518B5E73"/>
    <w:rsid w:val="5192108B"/>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D2E89"/>
    <w:rsid w:val="51EE7B3E"/>
    <w:rsid w:val="51F51BD1"/>
    <w:rsid w:val="51F837C6"/>
    <w:rsid w:val="51F96848"/>
    <w:rsid w:val="51FB40B5"/>
    <w:rsid w:val="51FD6C98"/>
    <w:rsid w:val="520420FD"/>
    <w:rsid w:val="52063C95"/>
    <w:rsid w:val="52073487"/>
    <w:rsid w:val="520A7B89"/>
    <w:rsid w:val="520E648E"/>
    <w:rsid w:val="521536EF"/>
    <w:rsid w:val="521C5D43"/>
    <w:rsid w:val="521D7ED7"/>
    <w:rsid w:val="52216835"/>
    <w:rsid w:val="52257DA4"/>
    <w:rsid w:val="52292F75"/>
    <w:rsid w:val="52293051"/>
    <w:rsid w:val="522A5E44"/>
    <w:rsid w:val="52325EE7"/>
    <w:rsid w:val="52350A29"/>
    <w:rsid w:val="52362D8B"/>
    <w:rsid w:val="5239194F"/>
    <w:rsid w:val="52393747"/>
    <w:rsid w:val="523A7D46"/>
    <w:rsid w:val="523F73F7"/>
    <w:rsid w:val="52410684"/>
    <w:rsid w:val="5247460D"/>
    <w:rsid w:val="524D342E"/>
    <w:rsid w:val="524E54BD"/>
    <w:rsid w:val="524F3C18"/>
    <w:rsid w:val="5257696B"/>
    <w:rsid w:val="5258563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081041"/>
    <w:rsid w:val="53112C1D"/>
    <w:rsid w:val="531241BA"/>
    <w:rsid w:val="53155215"/>
    <w:rsid w:val="531621BA"/>
    <w:rsid w:val="531D0F10"/>
    <w:rsid w:val="531F532A"/>
    <w:rsid w:val="53207ABD"/>
    <w:rsid w:val="53244EF5"/>
    <w:rsid w:val="53264D3B"/>
    <w:rsid w:val="53290BFD"/>
    <w:rsid w:val="53293966"/>
    <w:rsid w:val="532B3E9B"/>
    <w:rsid w:val="532C389F"/>
    <w:rsid w:val="532D753B"/>
    <w:rsid w:val="532F6301"/>
    <w:rsid w:val="53342F91"/>
    <w:rsid w:val="53361B76"/>
    <w:rsid w:val="533E0346"/>
    <w:rsid w:val="534246C3"/>
    <w:rsid w:val="534454E2"/>
    <w:rsid w:val="53477D18"/>
    <w:rsid w:val="53495ACD"/>
    <w:rsid w:val="534A5181"/>
    <w:rsid w:val="534D1493"/>
    <w:rsid w:val="534D2555"/>
    <w:rsid w:val="534E11CE"/>
    <w:rsid w:val="535337EC"/>
    <w:rsid w:val="53556970"/>
    <w:rsid w:val="535E141D"/>
    <w:rsid w:val="535F500E"/>
    <w:rsid w:val="536250CC"/>
    <w:rsid w:val="5366542B"/>
    <w:rsid w:val="536C23A4"/>
    <w:rsid w:val="536C30EB"/>
    <w:rsid w:val="536C6556"/>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55382"/>
    <w:rsid w:val="53B665EF"/>
    <w:rsid w:val="53BB51C6"/>
    <w:rsid w:val="53BE1FB8"/>
    <w:rsid w:val="53C34D17"/>
    <w:rsid w:val="53C40B3B"/>
    <w:rsid w:val="53C817A7"/>
    <w:rsid w:val="53C877C6"/>
    <w:rsid w:val="53D153F9"/>
    <w:rsid w:val="53DB35A3"/>
    <w:rsid w:val="53DC2808"/>
    <w:rsid w:val="53DD2CA6"/>
    <w:rsid w:val="53DE4BEA"/>
    <w:rsid w:val="53DF54A9"/>
    <w:rsid w:val="53E07B00"/>
    <w:rsid w:val="53E1544E"/>
    <w:rsid w:val="53E27BE1"/>
    <w:rsid w:val="53EA0E7E"/>
    <w:rsid w:val="53EC3D29"/>
    <w:rsid w:val="53EE37DC"/>
    <w:rsid w:val="53F333D9"/>
    <w:rsid w:val="53F52D5C"/>
    <w:rsid w:val="53F80508"/>
    <w:rsid w:val="53F82C13"/>
    <w:rsid w:val="53F90D34"/>
    <w:rsid w:val="53FA05A6"/>
    <w:rsid w:val="54002BFD"/>
    <w:rsid w:val="54036E8C"/>
    <w:rsid w:val="54066342"/>
    <w:rsid w:val="54096B9B"/>
    <w:rsid w:val="540A0F22"/>
    <w:rsid w:val="541942B6"/>
    <w:rsid w:val="541A3E14"/>
    <w:rsid w:val="541A40BD"/>
    <w:rsid w:val="541F38E3"/>
    <w:rsid w:val="542A1803"/>
    <w:rsid w:val="542A3FEF"/>
    <w:rsid w:val="542A5504"/>
    <w:rsid w:val="542F7A60"/>
    <w:rsid w:val="54346136"/>
    <w:rsid w:val="5438183D"/>
    <w:rsid w:val="54427EF5"/>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4F20223"/>
    <w:rsid w:val="5505644B"/>
    <w:rsid w:val="550E6C32"/>
    <w:rsid w:val="550F4585"/>
    <w:rsid w:val="551C2E90"/>
    <w:rsid w:val="552D52C7"/>
    <w:rsid w:val="552E55E9"/>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045A"/>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139AB"/>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D47AE"/>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3C39"/>
    <w:rsid w:val="56CD63CA"/>
    <w:rsid w:val="56CE5F20"/>
    <w:rsid w:val="56D1338D"/>
    <w:rsid w:val="56D31AC8"/>
    <w:rsid w:val="56DA3EBA"/>
    <w:rsid w:val="56DE40C5"/>
    <w:rsid w:val="56E33383"/>
    <w:rsid w:val="56E3418D"/>
    <w:rsid w:val="56E44E21"/>
    <w:rsid w:val="56E81DBE"/>
    <w:rsid w:val="56EA65D6"/>
    <w:rsid w:val="56ED5E03"/>
    <w:rsid w:val="56F456C1"/>
    <w:rsid w:val="56FB0134"/>
    <w:rsid w:val="56FC2728"/>
    <w:rsid w:val="57003F9B"/>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729E9"/>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65FBE"/>
    <w:rsid w:val="579A7C07"/>
    <w:rsid w:val="579D764D"/>
    <w:rsid w:val="579F309F"/>
    <w:rsid w:val="57A46FEE"/>
    <w:rsid w:val="57AA5A5F"/>
    <w:rsid w:val="57AF7168"/>
    <w:rsid w:val="57B02763"/>
    <w:rsid w:val="57B47272"/>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621E3"/>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00EC4"/>
    <w:rsid w:val="58222A6D"/>
    <w:rsid w:val="5822786C"/>
    <w:rsid w:val="58243371"/>
    <w:rsid w:val="58293CFC"/>
    <w:rsid w:val="58296FA6"/>
    <w:rsid w:val="58302962"/>
    <w:rsid w:val="5835010B"/>
    <w:rsid w:val="583C0D03"/>
    <w:rsid w:val="58407CFE"/>
    <w:rsid w:val="58434BAC"/>
    <w:rsid w:val="58462B56"/>
    <w:rsid w:val="5846366F"/>
    <w:rsid w:val="584654C9"/>
    <w:rsid w:val="58470241"/>
    <w:rsid w:val="58481E8A"/>
    <w:rsid w:val="58484F55"/>
    <w:rsid w:val="584B45E2"/>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20C3"/>
    <w:rsid w:val="59125193"/>
    <w:rsid w:val="59255E05"/>
    <w:rsid w:val="59267EF0"/>
    <w:rsid w:val="59287A6A"/>
    <w:rsid w:val="592C2EB2"/>
    <w:rsid w:val="59376E4C"/>
    <w:rsid w:val="5939268C"/>
    <w:rsid w:val="593B71D3"/>
    <w:rsid w:val="593E1A51"/>
    <w:rsid w:val="59421F7E"/>
    <w:rsid w:val="59424509"/>
    <w:rsid w:val="594935F2"/>
    <w:rsid w:val="594C2750"/>
    <w:rsid w:val="59595860"/>
    <w:rsid w:val="595C0946"/>
    <w:rsid w:val="59604A5E"/>
    <w:rsid w:val="59635D3A"/>
    <w:rsid w:val="59642A7A"/>
    <w:rsid w:val="59643735"/>
    <w:rsid w:val="59655357"/>
    <w:rsid w:val="596957AE"/>
    <w:rsid w:val="596D32B4"/>
    <w:rsid w:val="596F5485"/>
    <w:rsid w:val="59705CB6"/>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D3F92"/>
    <w:rsid w:val="59BE1CC3"/>
    <w:rsid w:val="59C13A26"/>
    <w:rsid w:val="59C1506D"/>
    <w:rsid w:val="59C23D49"/>
    <w:rsid w:val="59C503C4"/>
    <w:rsid w:val="59C91BF3"/>
    <w:rsid w:val="59CA57DA"/>
    <w:rsid w:val="59CB73DC"/>
    <w:rsid w:val="59CF7A5A"/>
    <w:rsid w:val="59D02E4C"/>
    <w:rsid w:val="59D906FD"/>
    <w:rsid w:val="59D96DAD"/>
    <w:rsid w:val="59DA6C9E"/>
    <w:rsid w:val="59E11C9B"/>
    <w:rsid w:val="59E143BA"/>
    <w:rsid w:val="59E2737B"/>
    <w:rsid w:val="59E42F2E"/>
    <w:rsid w:val="59E47507"/>
    <w:rsid w:val="59EA6E92"/>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072DA"/>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66E05"/>
    <w:rsid w:val="5A8F76C1"/>
    <w:rsid w:val="5A921A04"/>
    <w:rsid w:val="5A99558C"/>
    <w:rsid w:val="5A9A0A66"/>
    <w:rsid w:val="5AA541CF"/>
    <w:rsid w:val="5AAF48E4"/>
    <w:rsid w:val="5AB37B5F"/>
    <w:rsid w:val="5AB96041"/>
    <w:rsid w:val="5ABA16E1"/>
    <w:rsid w:val="5ABC4831"/>
    <w:rsid w:val="5ABC6BFA"/>
    <w:rsid w:val="5ABF01E8"/>
    <w:rsid w:val="5ABF7466"/>
    <w:rsid w:val="5AC05747"/>
    <w:rsid w:val="5AC366EB"/>
    <w:rsid w:val="5AC43AE0"/>
    <w:rsid w:val="5AC4427C"/>
    <w:rsid w:val="5AC73FC9"/>
    <w:rsid w:val="5AC76ACB"/>
    <w:rsid w:val="5ACE75C5"/>
    <w:rsid w:val="5ACF15D8"/>
    <w:rsid w:val="5AD054B7"/>
    <w:rsid w:val="5AD149C0"/>
    <w:rsid w:val="5AD20D04"/>
    <w:rsid w:val="5AD510F0"/>
    <w:rsid w:val="5AD822B6"/>
    <w:rsid w:val="5AD86DAA"/>
    <w:rsid w:val="5ADC2D5B"/>
    <w:rsid w:val="5AEF0AF8"/>
    <w:rsid w:val="5AF341EB"/>
    <w:rsid w:val="5AF405C5"/>
    <w:rsid w:val="5AF535B6"/>
    <w:rsid w:val="5AF82FCA"/>
    <w:rsid w:val="5AF8657A"/>
    <w:rsid w:val="5AFA42E0"/>
    <w:rsid w:val="5AFD654B"/>
    <w:rsid w:val="5AFE5C3F"/>
    <w:rsid w:val="5AFF4835"/>
    <w:rsid w:val="5B000850"/>
    <w:rsid w:val="5B0C6EB5"/>
    <w:rsid w:val="5B141FB9"/>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44BDE"/>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11EF"/>
    <w:rsid w:val="5BA65080"/>
    <w:rsid w:val="5BA76A78"/>
    <w:rsid w:val="5BAD4092"/>
    <w:rsid w:val="5BAF62E8"/>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D7E00"/>
    <w:rsid w:val="5C0E435F"/>
    <w:rsid w:val="5C135532"/>
    <w:rsid w:val="5C1832F4"/>
    <w:rsid w:val="5C185468"/>
    <w:rsid w:val="5C1A3044"/>
    <w:rsid w:val="5C1D0C0F"/>
    <w:rsid w:val="5C1F7821"/>
    <w:rsid w:val="5C2218F7"/>
    <w:rsid w:val="5C25291D"/>
    <w:rsid w:val="5C3A291C"/>
    <w:rsid w:val="5C3B2DCF"/>
    <w:rsid w:val="5C3F26AF"/>
    <w:rsid w:val="5C4415EF"/>
    <w:rsid w:val="5C474C2E"/>
    <w:rsid w:val="5C4821F4"/>
    <w:rsid w:val="5C494C6D"/>
    <w:rsid w:val="5C4E5619"/>
    <w:rsid w:val="5C500AF8"/>
    <w:rsid w:val="5C517866"/>
    <w:rsid w:val="5C523483"/>
    <w:rsid w:val="5C5348B4"/>
    <w:rsid w:val="5C5D5EFB"/>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81BF9"/>
    <w:rsid w:val="5CC93DAE"/>
    <w:rsid w:val="5CCF7073"/>
    <w:rsid w:val="5CD31EE3"/>
    <w:rsid w:val="5CD734BB"/>
    <w:rsid w:val="5CD80ABF"/>
    <w:rsid w:val="5CE03F3E"/>
    <w:rsid w:val="5CE1654F"/>
    <w:rsid w:val="5CE47CF9"/>
    <w:rsid w:val="5CE63245"/>
    <w:rsid w:val="5CEB1D70"/>
    <w:rsid w:val="5CF45558"/>
    <w:rsid w:val="5CF7080A"/>
    <w:rsid w:val="5CF70E19"/>
    <w:rsid w:val="5D00730C"/>
    <w:rsid w:val="5D0209B4"/>
    <w:rsid w:val="5D072BC8"/>
    <w:rsid w:val="5D076525"/>
    <w:rsid w:val="5D0A3A75"/>
    <w:rsid w:val="5D0C1CFA"/>
    <w:rsid w:val="5D0E453B"/>
    <w:rsid w:val="5D121B72"/>
    <w:rsid w:val="5D19384D"/>
    <w:rsid w:val="5D2230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7C185A"/>
    <w:rsid w:val="5D7E31D2"/>
    <w:rsid w:val="5D820C77"/>
    <w:rsid w:val="5D826C13"/>
    <w:rsid w:val="5D8428C5"/>
    <w:rsid w:val="5D890A8B"/>
    <w:rsid w:val="5D8B2715"/>
    <w:rsid w:val="5D8D250E"/>
    <w:rsid w:val="5D8D5687"/>
    <w:rsid w:val="5D8F399C"/>
    <w:rsid w:val="5D8F6111"/>
    <w:rsid w:val="5D915AFD"/>
    <w:rsid w:val="5D9404A9"/>
    <w:rsid w:val="5D9A23F4"/>
    <w:rsid w:val="5D9F6617"/>
    <w:rsid w:val="5D9F7C74"/>
    <w:rsid w:val="5DA01B06"/>
    <w:rsid w:val="5DAA158A"/>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11FD"/>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8E32A0"/>
    <w:rsid w:val="5EA2798A"/>
    <w:rsid w:val="5EA36A9B"/>
    <w:rsid w:val="5EA42C37"/>
    <w:rsid w:val="5EA648E2"/>
    <w:rsid w:val="5EA71C01"/>
    <w:rsid w:val="5EB24CFE"/>
    <w:rsid w:val="5EB32415"/>
    <w:rsid w:val="5EB50A07"/>
    <w:rsid w:val="5EB52E6F"/>
    <w:rsid w:val="5EBF0B71"/>
    <w:rsid w:val="5EC37A1E"/>
    <w:rsid w:val="5EC94A60"/>
    <w:rsid w:val="5ECA23D8"/>
    <w:rsid w:val="5ECE796D"/>
    <w:rsid w:val="5ED74E21"/>
    <w:rsid w:val="5ED95EEE"/>
    <w:rsid w:val="5EDE3BFC"/>
    <w:rsid w:val="5EE5503B"/>
    <w:rsid w:val="5EE55DDE"/>
    <w:rsid w:val="5EE71334"/>
    <w:rsid w:val="5EF04AC4"/>
    <w:rsid w:val="5EF27BD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71A19"/>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D0638"/>
    <w:rsid w:val="5F9F1AF5"/>
    <w:rsid w:val="5FA00A10"/>
    <w:rsid w:val="5FA4374A"/>
    <w:rsid w:val="5FA4380A"/>
    <w:rsid w:val="5FA4668F"/>
    <w:rsid w:val="5FA5501A"/>
    <w:rsid w:val="5FAB674F"/>
    <w:rsid w:val="5FB25387"/>
    <w:rsid w:val="5FB6497C"/>
    <w:rsid w:val="5FBD5E8E"/>
    <w:rsid w:val="5FBF3440"/>
    <w:rsid w:val="5FC53509"/>
    <w:rsid w:val="5FCC5D9F"/>
    <w:rsid w:val="5FD045A9"/>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9558C"/>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9748A"/>
    <w:rsid w:val="612D2321"/>
    <w:rsid w:val="612F769F"/>
    <w:rsid w:val="613964B7"/>
    <w:rsid w:val="6143039D"/>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12E22"/>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076D84"/>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2F8B"/>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35974"/>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3703E"/>
    <w:rsid w:val="63F55755"/>
    <w:rsid w:val="63F95EB6"/>
    <w:rsid w:val="63FB6EC6"/>
    <w:rsid w:val="63FC2C34"/>
    <w:rsid w:val="63FD7654"/>
    <w:rsid w:val="63FE7312"/>
    <w:rsid w:val="640022DF"/>
    <w:rsid w:val="640A7217"/>
    <w:rsid w:val="640B24A8"/>
    <w:rsid w:val="640C2BB6"/>
    <w:rsid w:val="640C6632"/>
    <w:rsid w:val="6411454E"/>
    <w:rsid w:val="64225C1C"/>
    <w:rsid w:val="642437E9"/>
    <w:rsid w:val="642A59F3"/>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245C0"/>
    <w:rsid w:val="647C7BEB"/>
    <w:rsid w:val="647D1DE9"/>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67703"/>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1D10B4"/>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86A04"/>
    <w:rsid w:val="663D054E"/>
    <w:rsid w:val="66404DE3"/>
    <w:rsid w:val="66460692"/>
    <w:rsid w:val="6658158E"/>
    <w:rsid w:val="66631FDD"/>
    <w:rsid w:val="66634E10"/>
    <w:rsid w:val="6667104F"/>
    <w:rsid w:val="666B0D20"/>
    <w:rsid w:val="66727620"/>
    <w:rsid w:val="66763229"/>
    <w:rsid w:val="66763EED"/>
    <w:rsid w:val="66782A0E"/>
    <w:rsid w:val="667930F9"/>
    <w:rsid w:val="6679372B"/>
    <w:rsid w:val="667A5713"/>
    <w:rsid w:val="667B3C56"/>
    <w:rsid w:val="667F13C3"/>
    <w:rsid w:val="66822EA8"/>
    <w:rsid w:val="668441F3"/>
    <w:rsid w:val="668533D7"/>
    <w:rsid w:val="668B6CBD"/>
    <w:rsid w:val="66953491"/>
    <w:rsid w:val="66980BF6"/>
    <w:rsid w:val="66A24A7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37149"/>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C4CD5"/>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1834"/>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86396"/>
    <w:rsid w:val="68495F2A"/>
    <w:rsid w:val="684F1282"/>
    <w:rsid w:val="6850356A"/>
    <w:rsid w:val="685465AC"/>
    <w:rsid w:val="68562439"/>
    <w:rsid w:val="68650339"/>
    <w:rsid w:val="68651915"/>
    <w:rsid w:val="68670AE1"/>
    <w:rsid w:val="6867379E"/>
    <w:rsid w:val="68733F18"/>
    <w:rsid w:val="687442EE"/>
    <w:rsid w:val="68772A56"/>
    <w:rsid w:val="687C7996"/>
    <w:rsid w:val="687E1768"/>
    <w:rsid w:val="687F4FBC"/>
    <w:rsid w:val="68823697"/>
    <w:rsid w:val="689709C7"/>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840F9"/>
    <w:rsid w:val="68CA4525"/>
    <w:rsid w:val="68D94717"/>
    <w:rsid w:val="68DD619B"/>
    <w:rsid w:val="68EC3A15"/>
    <w:rsid w:val="68ED69A7"/>
    <w:rsid w:val="68FD5593"/>
    <w:rsid w:val="69006D22"/>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19D7"/>
    <w:rsid w:val="695048C2"/>
    <w:rsid w:val="6951205B"/>
    <w:rsid w:val="6953741D"/>
    <w:rsid w:val="69552B47"/>
    <w:rsid w:val="6956014F"/>
    <w:rsid w:val="696F3842"/>
    <w:rsid w:val="69713E8B"/>
    <w:rsid w:val="69731101"/>
    <w:rsid w:val="6974083C"/>
    <w:rsid w:val="697D087B"/>
    <w:rsid w:val="697F3EF0"/>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1332B"/>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148BD"/>
    <w:rsid w:val="69F224F8"/>
    <w:rsid w:val="69F3045E"/>
    <w:rsid w:val="69F343D3"/>
    <w:rsid w:val="69F3790F"/>
    <w:rsid w:val="6A036F5F"/>
    <w:rsid w:val="6A064BF7"/>
    <w:rsid w:val="6A093665"/>
    <w:rsid w:val="6A121AB8"/>
    <w:rsid w:val="6A12415B"/>
    <w:rsid w:val="6A152CC8"/>
    <w:rsid w:val="6A1567FD"/>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06CD"/>
    <w:rsid w:val="6A7F5162"/>
    <w:rsid w:val="6A800FE2"/>
    <w:rsid w:val="6A80364F"/>
    <w:rsid w:val="6A89112C"/>
    <w:rsid w:val="6A8C3EFF"/>
    <w:rsid w:val="6A905626"/>
    <w:rsid w:val="6A916EED"/>
    <w:rsid w:val="6A930EAF"/>
    <w:rsid w:val="6A9371B0"/>
    <w:rsid w:val="6A937D23"/>
    <w:rsid w:val="6A960003"/>
    <w:rsid w:val="6A990082"/>
    <w:rsid w:val="6A9B5915"/>
    <w:rsid w:val="6A9B7735"/>
    <w:rsid w:val="6AA02774"/>
    <w:rsid w:val="6AA05CD8"/>
    <w:rsid w:val="6AA258AD"/>
    <w:rsid w:val="6AA41157"/>
    <w:rsid w:val="6AAB2AD1"/>
    <w:rsid w:val="6AAE5F36"/>
    <w:rsid w:val="6AAF2259"/>
    <w:rsid w:val="6AB14817"/>
    <w:rsid w:val="6AB45A03"/>
    <w:rsid w:val="6ABE4FFD"/>
    <w:rsid w:val="6AC76B40"/>
    <w:rsid w:val="6AD3421A"/>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05217"/>
    <w:rsid w:val="6B1B1CC8"/>
    <w:rsid w:val="6B1E05E1"/>
    <w:rsid w:val="6B21318E"/>
    <w:rsid w:val="6B227A15"/>
    <w:rsid w:val="6B2432C2"/>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8F7255"/>
    <w:rsid w:val="6B95396B"/>
    <w:rsid w:val="6BA344F1"/>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5D6834"/>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B4931"/>
    <w:rsid w:val="6D5D3D5C"/>
    <w:rsid w:val="6D5E64E8"/>
    <w:rsid w:val="6D621A21"/>
    <w:rsid w:val="6D652ED0"/>
    <w:rsid w:val="6D662717"/>
    <w:rsid w:val="6D663299"/>
    <w:rsid w:val="6D6A7E15"/>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BB5BFC"/>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A3305"/>
    <w:rsid w:val="6E1B4CD0"/>
    <w:rsid w:val="6E1C2489"/>
    <w:rsid w:val="6E1D776A"/>
    <w:rsid w:val="6E225993"/>
    <w:rsid w:val="6E2A0DD8"/>
    <w:rsid w:val="6E3552B0"/>
    <w:rsid w:val="6E35742E"/>
    <w:rsid w:val="6E376A3A"/>
    <w:rsid w:val="6E3E181B"/>
    <w:rsid w:val="6E3F1C0F"/>
    <w:rsid w:val="6E484191"/>
    <w:rsid w:val="6E492F1A"/>
    <w:rsid w:val="6E4E018F"/>
    <w:rsid w:val="6E4E0EC4"/>
    <w:rsid w:val="6E561494"/>
    <w:rsid w:val="6E567CD0"/>
    <w:rsid w:val="6E5C099F"/>
    <w:rsid w:val="6E5F2DE6"/>
    <w:rsid w:val="6E606342"/>
    <w:rsid w:val="6E606731"/>
    <w:rsid w:val="6E633CB5"/>
    <w:rsid w:val="6E651C83"/>
    <w:rsid w:val="6E6C7AB6"/>
    <w:rsid w:val="6E7106EF"/>
    <w:rsid w:val="6E7158DA"/>
    <w:rsid w:val="6E72570E"/>
    <w:rsid w:val="6E734770"/>
    <w:rsid w:val="6E785A45"/>
    <w:rsid w:val="6E796FC0"/>
    <w:rsid w:val="6E7F4527"/>
    <w:rsid w:val="6E83317D"/>
    <w:rsid w:val="6E8B20DB"/>
    <w:rsid w:val="6E917497"/>
    <w:rsid w:val="6EA13305"/>
    <w:rsid w:val="6EA43493"/>
    <w:rsid w:val="6EAA5555"/>
    <w:rsid w:val="6EAB29FB"/>
    <w:rsid w:val="6EB32B7F"/>
    <w:rsid w:val="6EB406C2"/>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3511C"/>
    <w:rsid w:val="6EE939F2"/>
    <w:rsid w:val="6EF22C5A"/>
    <w:rsid w:val="6EFF612B"/>
    <w:rsid w:val="6F021829"/>
    <w:rsid w:val="6F08724A"/>
    <w:rsid w:val="6F14289F"/>
    <w:rsid w:val="6F153E64"/>
    <w:rsid w:val="6F162C84"/>
    <w:rsid w:val="6F2357D8"/>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B23E3"/>
    <w:rsid w:val="6F7E1B78"/>
    <w:rsid w:val="6F967ACA"/>
    <w:rsid w:val="6F9A4660"/>
    <w:rsid w:val="6F9C5D71"/>
    <w:rsid w:val="6FA3781E"/>
    <w:rsid w:val="6FA668EF"/>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138F"/>
    <w:rsid w:val="6FF561D1"/>
    <w:rsid w:val="6FFE0085"/>
    <w:rsid w:val="6FFF10F4"/>
    <w:rsid w:val="700477C8"/>
    <w:rsid w:val="70065F3C"/>
    <w:rsid w:val="700C0460"/>
    <w:rsid w:val="700C41FF"/>
    <w:rsid w:val="701458A7"/>
    <w:rsid w:val="70146689"/>
    <w:rsid w:val="70152C7C"/>
    <w:rsid w:val="70170F2B"/>
    <w:rsid w:val="701830B7"/>
    <w:rsid w:val="701C3A0F"/>
    <w:rsid w:val="701E2FAB"/>
    <w:rsid w:val="70206C25"/>
    <w:rsid w:val="702267D2"/>
    <w:rsid w:val="70266264"/>
    <w:rsid w:val="70291A05"/>
    <w:rsid w:val="70370653"/>
    <w:rsid w:val="70385F59"/>
    <w:rsid w:val="70387A8F"/>
    <w:rsid w:val="703E5095"/>
    <w:rsid w:val="70423736"/>
    <w:rsid w:val="70494AF1"/>
    <w:rsid w:val="704A6916"/>
    <w:rsid w:val="7054528E"/>
    <w:rsid w:val="70555B90"/>
    <w:rsid w:val="705E76BE"/>
    <w:rsid w:val="70680AC8"/>
    <w:rsid w:val="70684400"/>
    <w:rsid w:val="706A12A6"/>
    <w:rsid w:val="706D51B8"/>
    <w:rsid w:val="706F1F45"/>
    <w:rsid w:val="70712877"/>
    <w:rsid w:val="70737F32"/>
    <w:rsid w:val="70767F2C"/>
    <w:rsid w:val="70785A86"/>
    <w:rsid w:val="707E62BB"/>
    <w:rsid w:val="70871107"/>
    <w:rsid w:val="7088437E"/>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20F54"/>
    <w:rsid w:val="71017D80"/>
    <w:rsid w:val="71031632"/>
    <w:rsid w:val="710524E2"/>
    <w:rsid w:val="71066269"/>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24FC1"/>
    <w:rsid w:val="71936186"/>
    <w:rsid w:val="71A2244A"/>
    <w:rsid w:val="71A36DE5"/>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46E2"/>
    <w:rsid w:val="71F26295"/>
    <w:rsid w:val="71F64447"/>
    <w:rsid w:val="71F855C3"/>
    <w:rsid w:val="71FB028A"/>
    <w:rsid w:val="71FC70DF"/>
    <w:rsid w:val="720319CB"/>
    <w:rsid w:val="72056436"/>
    <w:rsid w:val="720979A0"/>
    <w:rsid w:val="720F633E"/>
    <w:rsid w:val="72130B93"/>
    <w:rsid w:val="72192578"/>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C5A6E"/>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028FA"/>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8475E"/>
    <w:rsid w:val="73DB12EA"/>
    <w:rsid w:val="73DB45F5"/>
    <w:rsid w:val="73DD2FB8"/>
    <w:rsid w:val="73DD3CB3"/>
    <w:rsid w:val="73DE1AB7"/>
    <w:rsid w:val="73EC7C9D"/>
    <w:rsid w:val="73EE45A8"/>
    <w:rsid w:val="73EE6F0E"/>
    <w:rsid w:val="73F305B7"/>
    <w:rsid w:val="73F5257C"/>
    <w:rsid w:val="73F67B1C"/>
    <w:rsid w:val="73F8258B"/>
    <w:rsid w:val="73FF2CB2"/>
    <w:rsid w:val="7402716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E1443"/>
    <w:rsid w:val="747F0E23"/>
    <w:rsid w:val="74894C93"/>
    <w:rsid w:val="74964674"/>
    <w:rsid w:val="749D5800"/>
    <w:rsid w:val="74A63A12"/>
    <w:rsid w:val="74A73312"/>
    <w:rsid w:val="74A739B2"/>
    <w:rsid w:val="74B06962"/>
    <w:rsid w:val="74B32215"/>
    <w:rsid w:val="74B51309"/>
    <w:rsid w:val="74BC7516"/>
    <w:rsid w:val="74C0607C"/>
    <w:rsid w:val="74C46840"/>
    <w:rsid w:val="74CC2B9D"/>
    <w:rsid w:val="74D575AA"/>
    <w:rsid w:val="74D71DDE"/>
    <w:rsid w:val="74D95703"/>
    <w:rsid w:val="74DA7956"/>
    <w:rsid w:val="74E11F86"/>
    <w:rsid w:val="74E420F7"/>
    <w:rsid w:val="74FB509B"/>
    <w:rsid w:val="74FB6035"/>
    <w:rsid w:val="74FF07F1"/>
    <w:rsid w:val="75017A4C"/>
    <w:rsid w:val="7502618E"/>
    <w:rsid w:val="7507587E"/>
    <w:rsid w:val="75076FFE"/>
    <w:rsid w:val="750934A8"/>
    <w:rsid w:val="750A15E4"/>
    <w:rsid w:val="750C46DC"/>
    <w:rsid w:val="750C76FA"/>
    <w:rsid w:val="751E29FC"/>
    <w:rsid w:val="752B3381"/>
    <w:rsid w:val="752D5343"/>
    <w:rsid w:val="75325694"/>
    <w:rsid w:val="7534402F"/>
    <w:rsid w:val="75376E15"/>
    <w:rsid w:val="753913DE"/>
    <w:rsid w:val="753B454F"/>
    <w:rsid w:val="753D2F68"/>
    <w:rsid w:val="753D6B7D"/>
    <w:rsid w:val="75441B17"/>
    <w:rsid w:val="75457EFF"/>
    <w:rsid w:val="7554481F"/>
    <w:rsid w:val="75594581"/>
    <w:rsid w:val="755A35FA"/>
    <w:rsid w:val="755A5494"/>
    <w:rsid w:val="75625A16"/>
    <w:rsid w:val="75630CAA"/>
    <w:rsid w:val="7564200E"/>
    <w:rsid w:val="75663FD1"/>
    <w:rsid w:val="75677137"/>
    <w:rsid w:val="75696461"/>
    <w:rsid w:val="756D0068"/>
    <w:rsid w:val="756F19B6"/>
    <w:rsid w:val="757540E3"/>
    <w:rsid w:val="75785C52"/>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C0F7F"/>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03094"/>
    <w:rsid w:val="76622786"/>
    <w:rsid w:val="766314AA"/>
    <w:rsid w:val="76671958"/>
    <w:rsid w:val="76674D6A"/>
    <w:rsid w:val="7667706B"/>
    <w:rsid w:val="76690632"/>
    <w:rsid w:val="766E0B9F"/>
    <w:rsid w:val="766F546C"/>
    <w:rsid w:val="767469E2"/>
    <w:rsid w:val="76775F0B"/>
    <w:rsid w:val="767A76A8"/>
    <w:rsid w:val="767B2BA3"/>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1858"/>
    <w:rsid w:val="771244E7"/>
    <w:rsid w:val="771865D9"/>
    <w:rsid w:val="77187F65"/>
    <w:rsid w:val="771C46CE"/>
    <w:rsid w:val="7726029C"/>
    <w:rsid w:val="772611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3B96"/>
    <w:rsid w:val="777D53E6"/>
    <w:rsid w:val="777E1FE2"/>
    <w:rsid w:val="777F4894"/>
    <w:rsid w:val="777F7D93"/>
    <w:rsid w:val="778067C2"/>
    <w:rsid w:val="77847A56"/>
    <w:rsid w:val="77884DA5"/>
    <w:rsid w:val="778C5286"/>
    <w:rsid w:val="778F0D7D"/>
    <w:rsid w:val="778F49BD"/>
    <w:rsid w:val="77917B1B"/>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2D7161"/>
    <w:rsid w:val="78306028"/>
    <w:rsid w:val="78316382"/>
    <w:rsid w:val="78326BCF"/>
    <w:rsid w:val="78355626"/>
    <w:rsid w:val="783643C3"/>
    <w:rsid w:val="78375EBD"/>
    <w:rsid w:val="783A01F4"/>
    <w:rsid w:val="783A5239"/>
    <w:rsid w:val="783E2636"/>
    <w:rsid w:val="784151EC"/>
    <w:rsid w:val="784563AF"/>
    <w:rsid w:val="78480067"/>
    <w:rsid w:val="7849196F"/>
    <w:rsid w:val="784B39E4"/>
    <w:rsid w:val="78591903"/>
    <w:rsid w:val="78593D58"/>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4847"/>
    <w:rsid w:val="78A561F3"/>
    <w:rsid w:val="78A56271"/>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2BDF"/>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353059"/>
    <w:rsid w:val="7940572D"/>
    <w:rsid w:val="794353F6"/>
    <w:rsid w:val="79461391"/>
    <w:rsid w:val="79474814"/>
    <w:rsid w:val="79492AA1"/>
    <w:rsid w:val="794B4D74"/>
    <w:rsid w:val="79501475"/>
    <w:rsid w:val="79524043"/>
    <w:rsid w:val="795A5499"/>
    <w:rsid w:val="795E6B13"/>
    <w:rsid w:val="796E35F2"/>
    <w:rsid w:val="796F0F99"/>
    <w:rsid w:val="7971290E"/>
    <w:rsid w:val="797450AA"/>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416E2"/>
    <w:rsid w:val="79B57356"/>
    <w:rsid w:val="79B90F42"/>
    <w:rsid w:val="79BD3E41"/>
    <w:rsid w:val="79BF2784"/>
    <w:rsid w:val="79C0597A"/>
    <w:rsid w:val="79C24EDF"/>
    <w:rsid w:val="79C66717"/>
    <w:rsid w:val="79C876AF"/>
    <w:rsid w:val="79C9013E"/>
    <w:rsid w:val="79C95AED"/>
    <w:rsid w:val="79D378EE"/>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15876"/>
    <w:rsid w:val="7A245751"/>
    <w:rsid w:val="7A262C2D"/>
    <w:rsid w:val="7A281BEA"/>
    <w:rsid w:val="7A291938"/>
    <w:rsid w:val="7A303F52"/>
    <w:rsid w:val="7A377740"/>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9214B"/>
    <w:rsid w:val="7A8B0BA1"/>
    <w:rsid w:val="7A9123B7"/>
    <w:rsid w:val="7A9711EE"/>
    <w:rsid w:val="7A9A1B33"/>
    <w:rsid w:val="7A9B74B6"/>
    <w:rsid w:val="7A9C3E5C"/>
    <w:rsid w:val="7A9D1CEF"/>
    <w:rsid w:val="7AA16CBD"/>
    <w:rsid w:val="7AA360D0"/>
    <w:rsid w:val="7AA5277A"/>
    <w:rsid w:val="7AA6700D"/>
    <w:rsid w:val="7AA774AE"/>
    <w:rsid w:val="7AA952CF"/>
    <w:rsid w:val="7AAC193E"/>
    <w:rsid w:val="7AAE678B"/>
    <w:rsid w:val="7AB07C78"/>
    <w:rsid w:val="7AB41F79"/>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46B46"/>
    <w:rsid w:val="7B0846CB"/>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C2F14"/>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B0C1C"/>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60C0D"/>
    <w:rsid w:val="7C3832F5"/>
    <w:rsid w:val="7C42281E"/>
    <w:rsid w:val="7C472DAB"/>
    <w:rsid w:val="7C550FEC"/>
    <w:rsid w:val="7C574C21"/>
    <w:rsid w:val="7C5A70F3"/>
    <w:rsid w:val="7C5C40BF"/>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BC0D5A"/>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34BDB"/>
    <w:rsid w:val="7D060FAD"/>
    <w:rsid w:val="7D0826CA"/>
    <w:rsid w:val="7D087430"/>
    <w:rsid w:val="7D0D06E5"/>
    <w:rsid w:val="7D130509"/>
    <w:rsid w:val="7D1946C0"/>
    <w:rsid w:val="7D1D7FE9"/>
    <w:rsid w:val="7D1F26E4"/>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C299F"/>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11AD7"/>
    <w:rsid w:val="7E121751"/>
    <w:rsid w:val="7E146CC2"/>
    <w:rsid w:val="7E18519E"/>
    <w:rsid w:val="7E1A2016"/>
    <w:rsid w:val="7E1C55F3"/>
    <w:rsid w:val="7E202566"/>
    <w:rsid w:val="7E222965"/>
    <w:rsid w:val="7E293001"/>
    <w:rsid w:val="7E2D6A9A"/>
    <w:rsid w:val="7E2E7D3F"/>
    <w:rsid w:val="7E2F1D57"/>
    <w:rsid w:val="7E327E17"/>
    <w:rsid w:val="7E3307DD"/>
    <w:rsid w:val="7E330B2F"/>
    <w:rsid w:val="7E347694"/>
    <w:rsid w:val="7E37347A"/>
    <w:rsid w:val="7E3763AF"/>
    <w:rsid w:val="7E393DD7"/>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B2257"/>
    <w:rsid w:val="7E7E2B41"/>
    <w:rsid w:val="7E8104AE"/>
    <w:rsid w:val="7E8D3E75"/>
    <w:rsid w:val="7E9044A6"/>
    <w:rsid w:val="7E922E52"/>
    <w:rsid w:val="7E996A44"/>
    <w:rsid w:val="7EA10518"/>
    <w:rsid w:val="7EA37537"/>
    <w:rsid w:val="7EA37826"/>
    <w:rsid w:val="7EA87297"/>
    <w:rsid w:val="7EAE1E9B"/>
    <w:rsid w:val="7EB260E3"/>
    <w:rsid w:val="7EB56059"/>
    <w:rsid w:val="7EB73383"/>
    <w:rsid w:val="7EBD506F"/>
    <w:rsid w:val="7EC206DA"/>
    <w:rsid w:val="7EC22792"/>
    <w:rsid w:val="7EC23404"/>
    <w:rsid w:val="7EC57DB4"/>
    <w:rsid w:val="7ED55364"/>
    <w:rsid w:val="7ED61FF8"/>
    <w:rsid w:val="7ED766B7"/>
    <w:rsid w:val="7EDA1938"/>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4975"/>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 w:type="paragraph" w:customStyle="1" w:styleId="119">
    <w:name w:val="样式1"/>
    <w:basedOn w:val="1"/>
    <w:qFormat/>
    <w:uiPriority w:val="0"/>
    <w:pPr>
      <w:keepNext/>
      <w:keepLines/>
      <w:widowControl/>
      <w:pBdr>
        <w:top w:val="single" w:color="auto" w:sz="12" w:space="1"/>
      </w:pBdr>
      <w:tabs>
        <w:tab w:val="left" w:pos="567"/>
      </w:tabs>
      <w:adjustRightInd w:val="0"/>
      <w:spacing w:before="240" w:after="180" w:line="260" w:lineRule="auto"/>
      <w:outlineLvl w:val="2"/>
    </w:pPr>
    <w:rPr>
      <w:rFonts w:hint="eastAsia" w:ascii="Arial" w:hAnsi="Arial"/>
      <w:kern w:val="0"/>
      <w:sz w:val="32"/>
      <w:szCs w:val="36"/>
    </w:rPr>
  </w:style>
  <w:style w:type="paragraph" w:customStyle="1" w:styleId="120">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0F4D-F902-4CC7-B60A-B7B98724165F}">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6</Pages>
  <Words>1002</Words>
  <Characters>5374</Characters>
  <Lines>118</Lines>
  <Paragraphs>33</Paragraphs>
  <TotalTime>0</TotalTime>
  <ScaleCrop>false</ScaleCrop>
  <LinksUpToDate>false</LinksUpToDate>
  <CharactersWithSpaces>6369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2025-05-21T00:07:00Z</dcterms:created>
  <dc:creator>ZTE</dc:creator>
  <cp:lastModifiedBy>ZTE, Fei Xue</cp:lastModifiedBy>
  <dcterms:modified xsi:type="dcterms:W3CDTF">2025-06-02T05:00:50Z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